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cs="宋体"/>
          <w:b/>
          <w:bCs/>
          <w:sz w:val="44"/>
          <w:szCs w:val="44"/>
        </w:rPr>
      </w:pPr>
      <w:r>
        <w:rPr>
          <w:rFonts w:hint="eastAsia" w:ascii="宋体" w:hAnsi="宋体" w:cs="宋体"/>
          <w:b/>
          <w:bCs/>
          <w:sz w:val="44"/>
          <w:szCs w:val="44"/>
        </w:rPr>
        <w:t>香河县刘宋镇人民政府</w:t>
      </w:r>
      <w:r>
        <w:rPr>
          <w:rFonts w:hint="eastAsia" w:ascii="宋体" w:hAnsi="宋体" w:cs="宋体"/>
          <w:b/>
          <w:bCs/>
          <w:sz w:val="44"/>
          <w:szCs w:val="44"/>
          <w:lang w:eastAsia="zh-CN"/>
        </w:rPr>
        <w:t>2019年</w:t>
      </w:r>
      <w:r>
        <w:rPr>
          <w:rFonts w:hint="eastAsia" w:ascii="宋体" w:hAnsi="宋体" w:cs="宋体"/>
          <w:b/>
          <w:bCs/>
          <w:sz w:val="44"/>
          <w:szCs w:val="44"/>
        </w:rPr>
        <w:t>部门预算信息公开</w:t>
      </w:r>
    </w:p>
    <w:p>
      <w:pPr>
        <w:ind w:firstLine="883" w:firstLineChars="200"/>
        <w:jc w:val="center"/>
        <w:rPr>
          <w:rFonts w:ascii="宋体" w:cs="宋体"/>
          <w:b/>
          <w:bCs/>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按照《预算法》、《地方预决算公开操作规程》和《河北省省级预算公开办法》规定，现将香河县刘宋镇人民政府部门</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仿宋" w:hAnsi="仿宋" w:eastAsia="仿宋" w:cs="Times New Roman"/>
          <w:b/>
          <w:bCs/>
          <w:sz w:val="32"/>
          <w:szCs w:val="32"/>
        </w:rPr>
      </w:pPr>
      <w:r>
        <w:rPr>
          <w:rFonts w:hint="eastAsia" w:ascii="仿宋" w:hAnsi="仿宋" w:eastAsia="仿宋" w:cs="仿宋"/>
          <w:b/>
          <w:bCs/>
          <w:sz w:val="32"/>
          <w:szCs w:val="32"/>
        </w:rPr>
        <w:t>部门职责：</w:t>
      </w:r>
    </w:p>
    <w:p>
      <w:pPr>
        <w:ind w:firstLine="640" w:firstLineChars="200"/>
        <w:rPr>
          <w:rFonts w:ascii="仿宋" w:hAnsi="仿宋" w:eastAsia="仿宋" w:cs="Times New Roman"/>
          <w:sz w:val="32"/>
          <w:szCs w:val="32"/>
        </w:rPr>
      </w:pPr>
      <w:r>
        <w:rPr>
          <w:rFonts w:hint="eastAsia" w:ascii="仿宋" w:hAnsi="仿宋" w:eastAsia="仿宋" w:cs="仿宋"/>
          <w:sz w:val="32"/>
          <w:szCs w:val="32"/>
        </w:rPr>
        <w:t>强化引导功能，集中精力抓好党的农村工作方针政策的落实，抓好基层政权建设和农业产业结构调整等带有方向性何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镇工作“一盘棋”相互配合。同时，进一步规范镇政府和村级组织的工作职能作用。</w:t>
      </w:r>
    </w:p>
    <w:p>
      <w:pPr>
        <w:ind w:firstLine="643" w:firstLineChars="200"/>
        <w:rPr>
          <w:rFonts w:ascii="仿宋" w:hAnsi="仿宋" w:eastAsia="仿宋" w:cs="Times New Roman"/>
          <w:b/>
          <w:bCs/>
          <w:sz w:val="32"/>
          <w:szCs w:val="32"/>
        </w:rPr>
      </w:pPr>
      <w:r>
        <w:rPr>
          <w:rFonts w:hint="eastAsia" w:ascii="仿宋" w:hAnsi="仿宋" w:eastAsia="仿宋" w:cs="仿宋"/>
          <w:b/>
          <w:bCs/>
          <w:sz w:val="32"/>
          <w:szCs w:val="32"/>
        </w:rPr>
        <w:t>机构设置：</w:t>
      </w:r>
    </w:p>
    <w:p>
      <w:pPr>
        <w:jc w:val="left"/>
        <w:outlineLvl w:val="0"/>
        <w:rPr>
          <w:rFonts w:ascii="仿宋" w:hAnsi="仿宋" w:eastAsia="仿宋" w:cs="Times New Roman"/>
          <w:sz w:val="32"/>
          <w:szCs w:val="32"/>
        </w:rPr>
      </w:pP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6"/>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香河县刘宋镇人民政府</w:t>
            </w:r>
          </w:p>
        </w:tc>
        <w:tc>
          <w:tcPr>
            <w:tcW w:w="113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行政</w:t>
            </w:r>
          </w:p>
        </w:tc>
        <w:tc>
          <w:tcPr>
            <w:tcW w:w="1276"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正科级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p>
        </w:tc>
        <w:tc>
          <w:tcPr>
            <w:tcW w:w="2902" w:type="dxa"/>
            <w:vAlign w:val="center"/>
          </w:tcPr>
          <w:p>
            <w:pPr>
              <w:spacing w:line="300" w:lineRule="exact"/>
              <w:jc w:val="left"/>
              <w:rPr>
                <w:rFonts w:ascii="Times New Roman" w:hAnsi="Times New Roman" w:eastAsia="方正书宋_GBK" w:cs="Times New Roman"/>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按照预算管理有关规定，目前我县部门预算的编制实行综合预算制度，即全部收入和支出都反映在预算中。</w:t>
      </w:r>
    </w:p>
    <w:p>
      <w:pPr>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rPr>
          <w:rFonts w:ascii="仿宋" w:hAnsi="仿宋" w:eastAsia="仿宋" w:cs="Times New Roman"/>
          <w:color w:val="FF0000"/>
          <w:sz w:val="32"/>
          <w:szCs w:val="32"/>
        </w:rPr>
      </w:pPr>
      <w:r>
        <w:rPr>
          <w:rFonts w:hint="eastAsia" w:ascii="仿宋" w:hAnsi="仿宋" w:eastAsia="仿宋" w:cs="仿宋"/>
          <w:sz w:val="32"/>
          <w:szCs w:val="32"/>
        </w:rPr>
        <w:t>反映本部门当年全部收入。</w:t>
      </w:r>
      <w:r>
        <w:rPr>
          <w:rFonts w:hint="eastAsia" w:ascii="仿宋" w:hAnsi="仿宋" w:eastAsia="仿宋" w:cs="仿宋"/>
          <w:sz w:val="32"/>
          <w:szCs w:val="32"/>
          <w:lang w:eastAsia="zh-CN"/>
        </w:rPr>
        <w:t>2019年</w:t>
      </w:r>
      <w:r>
        <w:rPr>
          <w:rFonts w:hint="eastAsia" w:ascii="仿宋" w:hAnsi="仿宋" w:eastAsia="仿宋" w:cs="仿宋"/>
          <w:sz w:val="32"/>
          <w:szCs w:val="32"/>
        </w:rPr>
        <w:t>预算收入总额7901.76万元，其中：财政拨款收入7901.76万元（包括一般公共预算7901.76万元、政府性基金预算</w:t>
      </w:r>
      <w:r>
        <w:rPr>
          <w:rFonts w:ascii="仿宋" w:hAnsi="仿宋" w:eastAsia="仿宋" w:cs="仿宋"/>
          <w:sz w:val="32"/>
          <w:szCs w:val="32"/>
        </w:rPr>
        <w:t>0</w:t>
      </w:r>
      <w:r>
        <w:rPr>
          <w:rFonts w:hint="eastAsia" w:ascii="仿宋" w:hAnsi="仿宋" w:eastAsia="仿宋" w:cs="仿宋"/>
          <w:sz w:val="32"/>
          <w:szCs w:val="32"/>
        </w:rPr>
        <w:t>万元、国有资本经营预算</w:t>
      </w:r>
      <w:r>
        <w:rPr>
          <w:rFonts w:ascii="仿宋" w:hAnsi="仿宋" w:eastAsia="仿宋" w:cs="仿宋"/>
          <w:sz w:val="32"/>
          <w:szCs w:val="32"/>
        </w:rPr>
        <w:t>0</w:t>
      </w:r>
      <w:r>
        <w:rPr>
          <w:rFonts w:hint="eastAsia" w:ascii="仿宋" w:hAnsi="仿宋" w:eastAsia="仿宋" w:cs="仿宋"/>
          <w:sz w:val="32"/>
          <w:szCs w:val="32"/>
        </w:rPr>
        <w:t>万元）、上级补助收入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万元、经营收入</w:t>
      </w:r>
      <w:r>
        <w:rPr>
          <w:rFonts w:ascii="仿宋" w:hAnsi="仿宋" w:eastAsia="仿宋" w:cs="仿宋"/>
          <w:sz w:val="32"/>
          <w:szCs w:val="32"/>
        </w:rPr>
        <w:t>0</w:t>
      </w:r>
      <w:r>
        <w:rPr>
          <w:rFonts w:hint="eastAsia" w:ascii="仿宋" w:hAnsi="仿宋" w:eastAsia="仿宋" w:cs="仿宋"/>
          <w:sz w:val="32"/>
          <w:szCs w:val="32"/>
        </w:rPr>
        <w:t>万元、附属单位上缴收入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万元等。</w:t>
      </w:r>
    </w:p>
    <w:p>
      <w:pPr>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ind w:firstLine="640"/>
        <w:rPr>
          <w:rFonts w:ascii="仿宋" w:hAnsi="仿宋" w:eastAsia="仿宋" w:cs="Times New Roman"/>
          <w:color w:val="FF0000"/>
          <w:sz w:val="32"/>
          <w:szCs w:val="32"/>
        </w:rPr>
      </w:pPr>
      <w:r>
        <w:rPr>
          <w:rFonts w:hint="eastAsia" w:ascii="仿宋" w:hAnsi="仿宋" w:eastAsia="仿宋" w:cs="仿宋"/>
          <w:sz w:val="32"/>
          <w:szCs w:val="32"/>
        </w:rPr>
        <w:t>收支预算总表支出栏、基本支出表、项目支出表按经济分类和支出功能分类科目编制，反映香河县刘宋镇人民政府部门年度部门预算中支出预算的总体情况。</w:t>
      </w:r>
      <w:r>
        <w:rPr>
          <w:rFonts w:hint="eastAsia" w:ascii="仿宋" w:hAnsi="仿宋" w:eastAsia="仿宋" w:cs="仿宋"/>
          <w:sz w:val="32"/>
          <w:szCs w:val="32"/>
          <w:lang w:eastAsia="zh-CN"/>
        </w:rPr>
        <w:t>2019年</w:t>
      </w:r>
      <w:r>
        <w:rPr>
          <w:rFonts w:hint="eastAsia" w:ascii="仿宋" w:hAnsi="仿宋" w:eastAsia="仿宋" w:cs="仿宋"/>
          <w:sz w:val="32"/>
          <w:szCs w:val="32"/>
        </w:rPr>
        <w:t>支出预算7901.76万元，其中基本支出2319.15万元，包括人员经费1920.15万元和日常公用经费399万元；项目支出5582.61万元，包括本级支出5582.61万元和对下补助支出</w:t>
      </w:r>
      <w:r>
        <w:rPr>
          <w:rFonts w:ascii="仿宋" w:hAnsi="仿宋" w:eastAsia="仿宋" w:cs="仿宋"/>
          <w:sz w:val="32"/>
          <w:szCs w:val="32"/>
        </w:rPr>
        <w:t>0</w:t>
      </w:r>
      <w:r>
        <w:rPr>
          <w:rFonts w:hint="eastAsia" w:ascii="仿宋" w:hAnsi="仿宋" w:eastAsia="仿宋" w:cs="仿宋"/>
          <w:sz w:val="32"/>
          <w:szCs w:val="32"/>
        </w:rPr>
        <w:t>万元，主要为美丽乡村，环境大气卫生治理，荷花基地建设等；上缴上级支出</w:t>
      </w:r>
      <w:r>
        <w:rPr>
          <w:rFonts w:ascii="仿宋" w:hAnsi="仿宋" w:eastAsia="仿宋" w:cs="仿宋"/>
          <w:sz w:val="32"/>
          <w:szCs w:val="32"/>
        </w:rPr>
        <w:t>0</w:t>
      </w:r>
      <w:r>
        <w:rPr>
          <w:rFonts w:hint="eastAsia" w:ascii="仿宋" w:hAnsi="仿宋" w:eastAsia="仿宋" w:cs="仿宋"/>
          <w:sz w:val="32"/>
          <w:szCs w:val="32"/>
        </w:rPr>
        <w:t>万元，；其他支出</w:t>
      </w:r>
      <w:r>
        <w:rPr>
          <w:rFonts w:ascii="仿宋" w:hAnsi="仿宋" w:eastAsia="仿宋" w:cs="仿宋"/>
          <w:sz w:val="32"/>
          <w:szCs w:val="32"/>
        </w:rPr>
        <w:t>0</w:t>
      </w:r>
      <w:r>
        <w:rPr>
          <w:rFonts w:hint="eastAsia" w:ascii="仿宋" w:hAnsi="仿宋" w:eastAsia="仿宋" w:cs="仿宋"/>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ind w:firstLine="640"/>
        <w:rPr>
          <w:rFonts w:ascii="仿宋" w:hAnsi="仿宋" w:eastAsia="仿宋" w:cs="Times New Roman"/>
          <w:sz w:val="32"/>
          <w:szCs w:val="32"/>
        </w:rPr>
      </w:pPr>
      <w:r>
        <w:rPr>
          <w:rFonts w:hint="eastAsia" w:ascii="仿宋" w:hAnsi="仿宋" w:eastAsia="仿宋" w:cs="仿宋"/>
          <w:sz w:val="32"/>
          <w:szCs w:val="32"/>
          <w:lang w:eastAsia="zh-CN"/>
        </w:rPr>
        <w:t>2019年</w:t>
      </w:r>
      <w:r>
        <w:rPr>
          <w:rFonts w:hint="eastAsia" w:ascii="仿宋" w:hAnsi="仿宋" w:eastAsia="仿宋" w:cs="仿宋"/>
          <w:sz w:val="32"/>
          <w:szCs w:val="32"/>
        </w:rPr>
        <w:t>预算收支安排7901.76万元，较</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年预算</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1581.24</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358.29</w:t>
      </w:r>
      <w:r>
        <w:rPr>
          <w:rFonts w:hint="eastAsia" w:ascii="仿宋" w:hAnsi="仿宋" w:eastAsia="仿宋" w:cs="仿宋"/>
          <w:sz w:val="32"/>
          <w:szCs w:val="32"/>
        </w:rPr>
        <w:t>万元，主要增加</w:t>
      </w:r>
      <w:r>
        <w:rPr>
          <w:rFonts w:hint="eastAsia" w:ascii="仿宋" w:hAnsi="仿宋" w:eastAsia="仿宋" w:cs="仿宋"/>
          <w:sz w:val="32"/>
          <w:szCs w:val="32"/>
          <w:lang w:eastAsia="zh-CN"/>
        </w:rPr>
        <w:t>为</w:t>
      </w:r>
      <w:r>
        <w:rPr>
          <w:rFonts w:hint="eastAsia" w:ascii="仿宋" w:hAnsi="仿宋" w:eastAsia="仿宋" w:cs="仿宋"/>
          <w:sz w:val="32"/>
          <w:szCs w:val="32"/>
        </w:rPr>
        <w:t>人员经费支出；项目支出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1939.53</w:t>
      </w:r>
      <w:r>
        <w:rPr>
          <w:rFonts w:hint="eastAsia" w:ascii="仿宋" w:hAnsi="仿宋" w:eastAsia="仿宋" w:cs="仿宋"/>
          <w:sz w:val="32"/>
          <w:szCs w:val="32"/>
        </w:rPr>
        <w:t>万元，主要</w:t>
      </w:r>
      <w:r>
        <w:rPr>
          <w:rFonts w:hint="eastAsia" w:ascii="仿宋" w:hAnsi="仿宋" w:eastAsia="仿宋" w:cs="仿宋"/>
          <w:sz w:val="32"/>
          <w:szCs w:val="32"/>
          <w:lang w:eastAsia="zh-CN"/>
        </w:rPr>
        <w:t>减少</w:t>
      </w:r>
      <w:r>
        <w:rPr>
          <w:rFonts w:hint="eastAsia" w:ascii="仿宋" w:hAnsi="仿宋" w:eastAsia="仿宋" w:cs="仿宋"/>
          <w:sz w:val="32"/>
          <w:szCs w:val="32"/>
        </w:rPr>
        <w:t>为美丽乡村，荷花基地建设等项目支出。</w:t>
      </w:r>
    </w:p>
    <w:p>
      <w:pPr>
        <w:ind w:firstLine="64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hint="eastAsia" w:ascii="仿宋" w:hAnsi="仿宋" w:eastAsia="仿宋" w:cs="仿宋"/>
          <w:sz w:val="32"/>
          <w:szCs w:val="32"/>
          <w:lang w:eastAsia="zh-CN"/>
        </w:rPr>
        <w:t>2019年</w:t>
      </w:r>
      <w:r>
        <w:rPr>
          <w:rFonts w:hint="eastAsia" w:ascii="仿宋" w:hAnsi="仿宋" w:eastAsia="仿宋" w:cs="仿宋"/>
          <w:sz w:val="32"/>
          <w:szCs w:val="32"/>
        </w:rPr>
        <w:t>机关运行经费共计安排399万元，主要用于办公区的日常维修、办公用房水电费、办公用房取暖费、办公用房物业管理费等日常运行支出。</w:t>
      </w:r>
    </w:p>
    <w:p>
      <w:pPr>
        <w:ind w:firstLine="64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cs="Times New Roman"/>
          <w:sz w:val="32"/>
          <w:szCs w:val="32"/>
        </w:rPr>
      </w:pPr>
      <w:r>
        <w:rPr>
          <w:rFonts w:hint="eastAsia" w:ascii="仿宋" w:hAnsi="仿宋" w:eastAsia="仿宋" w:cs="仿宋"/>
          <w:sz w:val="32"/>
          <w:szCs w:val="32"/>
          <w:lang w:eastAsia="zh-CN"/>
        </w:rPr>
        <w:t>2019年</w:t>
      </w:r>
      <w:r>
        <w:rPr>
          <w:rFonts w:hint="eastAsia" w:ascii="仿宋" w:hAnsi="仿宋" w:eastAsia="仿宋" w:cs="仿宋"/>
          <w:sz w:val="32"/>
          <w:szCs w:val="32"/>
        </w:rPr>
        <w:t>，本部门</w:t>
      </w:r>
      <w:r>
        <w:rPr>
          <w:rFonts w:ascii="仿宋" w:hAnsi="仿宋" w:eastAsia="仿宋" w:cs="仿宋"/>
          <w:sz w:val="32"/>
          <w:szCs w:val="32"/>
        </w:rPr>
        <w:t xml:space="preserve"> </w:t>
      </w:r>
      <w:r>
        <w:rPr>
          <w:rFonts w:hint="eastAsia" w:ascii="仿宋" w:hAnsi="仿宋" w:eastAsia="仿宋" w:cs="仿宋"/>
          <w:sz w:val="32"/>
          <w:szCs w:val="32"/>
        </w:rPr>
        <w:t>“三公”经费预算安排</w:t>
      </w:r>
      <w:r>
        <w:rPr>
          <w:rFonts w:ascii="仿宋" w:hAnsi="仿宋" w:eastAsia="仿宋" w:cs="仿宋"/>
          <w:sz w:val="32"/>
          <w:szCs w:val="32"/>
        </w:rPr>
        <w:t>10</w:t>
      </w:r>
      <w:r>
        <w:rPr>
          <w:rFonts w:hint="eastAsia" w:ascii="仿宋" w:hAnsi="仿宋" w:eastAsia="仿宋" w:cs="仿宋"/>
          <w:sz w:val="32"/>
          <w:szCs w:val="32"/>
        </w:rPr>
        <w:t>万元</w:t>
      </w:r>
      <w:r>
        <w:rPr>
          <w:rFonts w:hint="eastAsia" w:ascii="方正仿宋_GBK" w:hAnsi="宋体" w:eastAsia="方正仿宋_GBK" w:cs="方正仿宋_GBK"/>
          <w:color w:val="000000"/>
          <w:kern w:val="0"/>
          <w:sz w:val="32"/>
          <w:szCs w:val="32"/>
        </w:rPr>
        <w:t>（</w:t>
      </w:r>
      <w:r>
        <w:rPr>
          <w:rFonts w:hint="eastAsia" w:ascii="仿宋" w:hAnsi="仿宋" w:eastAsia="仿宋" w:cs="仿宋"/>
          <w:sz w:val="32"/>
          <w:szCs w:val="32"/>
        </w:rPr>
        <w:t>包括一般公共预算</w:t>
      </w:r>
      <w:r>
        <w:rPr>
          <w:rFonts w:ascii="仿宋" w:hAnsi="仿宋" w:eastAsia="仿宋" w:cs="仿宋"/>
          <w:sz w:val="32"/>
          <w:szCs w:val="32"/>
        </w:rPr>
        <w:t>10</w:t>
      </w:r>
      <w:r>
        <w:rPr>
          <w:rFonts w:hint="eastAsia" w:ascii="仿宋" w:hAnsi="仿宋" w:eastAsia="仿宋" w:cs="仿宋"/>
          <w:sz w:val="32"/>
          <w:szCs w:val="32"/>
        </w:rPr>
        <w:t>万元、政府性基金预算</w:t>
      </w:r>
      <w:r>
        <w:rPr>
          <w:rFonts w:ascii="仿宋" w:hAnsi="仿宋" w:eastAsia="仿宋" w:cs="仿宋"/>
          <w:sz w:val="32"/>
          <w:szCs w:val="32"/>
        </w:rPr>
        <w:t>0</w:t>
      </w:r>
      <w:r>
        <w:rPr>
          <w:rFonts w:hint="eastAsia" w:ascii="仿宋" w:hAnsi="仿宋" w:eastAsia="仿宋" w:cs="仿宋"/>
          <w:sz w:val="32"/>
          <w:szCs w:val="32"/>
        </w:rPr>
        <w:t>万元、国有资本经营预算</w:t>
      </w:r>
      <w:r>
        <w:rPr>
          <w:rFonts w:ascii="仿宋" w:hAnsi="仿宋" w:eastAsia="仿宋" w:cs="仿宋"/>
          <w:sz w:val="32"/>
          <w:szCs w:val="32"/>
        </w:rPr>
        <w:t>0</w:t>
      </w:r>
      <w:r>
        <w:rPr>
          <w:rFonts w:hint="eastAsia" w:ascii="仿宋" w:hAnsi="仿宋" w:eastAsia="仿宋" w:cs="仿宋"/>
          <w:sz w:val="32"/>
          <w:szCs w:val="32"/>
        </w:rPr>
        <w:t>万元和财政专户核拨资金</w:t>
      </w:r>
      <w:r>
        <w:rPr>
          <w:rFonts w:ascii="仿宋" w:hAnsi="仿宋" w:eastAsia="仿宋" w:cs="仿宋"/>
          <w:sz w:val="32"/>
          <w:szCs w:val="32"/>
        </w:rPr>
        <w:t>0</w:t>
      </w:r>
      <w:r>
        <w:rPr>
          <w:rFonts w:hint="eastAsia" w:ascii="仿宋" w:hAnsi="仿宋" w:eastAsia="仿宋" w:cs="仿宋"/>
          <w:sz w:val="32"/>
          <w:szCs w:val="32"/>
        </w:rPr>
        <w:t>万元</w:t>
      </w:r>
      <w:r>
        <w:rPr>
          <w:rFonts w:hint="eastAsia" w:ascii="方正仿宋_GBK" w:hAnsi="宋体" w:eastAsia="方正仿宋_GBK" w:cs="方正仿宋_GBK"/>
          <w:color w:val="000000"/>
          <w:kern w:val="0"/>
          <w:sz w:val="32"/>
          <w:szCs w:val="32"/>
        </w:rPr>
        <w:t>）</w:t>
      </w:r>
      <w:r>
        <w:rPr>
          <w:rFonts w:hint="eastAsia" w:ascii="仿宋" w:hAnsi="仿宋" w:eastAsia="仿宋" w:cs="仿宋"/>
          <w:sz w:val="32"/>
          <w:szCs w:val="32"/>
        </w:rPr>
        <w:t>，其中因公出国（境）费</w:t>
      </w:r>
      <w:r>
        <w:rPr>
          <w:rFonts w:ascii="仿宋" w:hAnsi="仿宋" w:eastAsia="仿宋" w:cs="仿宋"/>
          <w:sz w:val="32"/>
          <w:szCs w:val="32"/>
        </w:rPr>
        <w:t>0</w:t>
      </w:r>
      <w:r>
        <w:rPr>
          <w:rFonts w:hint="eastAsia" w:ascii="仿宋" w:hAnsi="仿宋" w:eastAsia="仿宋" w:cs="仿宋"/>
          <w:sz w:val="32"/>
          <w:szCs w:val="32"/>
        </w:rPr>
        <w:t>万元，与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年持平，无增减变动；公务用车购置及运维费</w:t>
      </w:r>
      <w:r>
        <w:rPr>
          <w:rFonts w:ascii="仿宋" w:hAnsi="仿宋" w:eastAsia="仿宋" w:cs="仿宋"/>
          <w:sz w:val="32"/>
          <w:szCs w:val="32"/>
        </w:rPr>
        <w:t>10</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，公务用车运行费</w:t>
      </w:r>
      <w:r>
        <w:rPr>
          <w:rFonts w:ascii="仿宋" w:hAnsi="仿宋" w:eastAsia="仿宋" w:cs="仿宋"/>
          <w:sz w:val="32"/>
          <w:szCs w:val="32"/>
        </w:rPr>
        <w:t>10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年持平，无增减变动；公务接待费</w:t>
      </w:r>
      <w:r>
        <w:rPr>
          <w:rFonts w:ascii="仿宋" w:hAnsi="仿宋" w:eastAsia="仿宋" w:cs="仿宋"/>
          <w:sz w:val="32"/>
          <w:szCs w:val="32"/>
        </w:rPr>
        <w:t>0</w:t>
      </w:r>
      <w:r>
        <w:rPr>
          <w:rFonts w:hint="eastAsia" w:ascii="仿宋" w:hAnsi="仿宋" w:eastAsia="仿宋" w:cs="仿宋"/>
          <w:sz w:val="32"/>
          <w:szCs w:val="32"/>
        </w:rPr>
        <w:t>万元，与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年持平，无增减变动。</w:t>
      </w:r>
    </w:p>
    <w:p>
      <w:pPr>
        <w:ind w:firstLine="640"/>
        <w:rPr>
          <w:rFonts w:hint="eastAsia" w:ascii="黑体" w:hAnsi="黑体" w:eastAsia="黑体" w:cs="黑体"/>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宋体" w:cs="Times New Roman"/>
          <w:b/>
          <w:bCs/>
          <w:sz w:val="32"/>
          <w:szCs w:val="32"/>
        </w:rPr>
      </w:pPr>
      <w:bookmarkStart w:id="0" w:name="_Toc471398463"/>
      <w:r>
        <w:rPr>
          <w:rFonts w:hint="eastAsia" w:ascii="宋体" w:hAnsi="宋体" w:cs="宋体"/>
          <w:b/>
          <w:bCs/>
          <w:sz w:val="32"/>
          <w:szCs w:val="32"/>
        </w:rPr>
        <w:t>总体绩效目标：</w:t>
      </w:r>
    </w:p>
    <w:p>
      <w:pPr>
        <w:ind w:left="210" w:leftChars="100" w:firstLine="640" w:firstLineChars="200"/>
        <w:jc w:val="left"/>
        <w:rPr>
          <w:rFonts w:ascii="仿宋" w:hAnsi="仿宋" w:eastAsia="仿宋" w:cs="Times New Roman"/>
          <w:sz w:val="32"/>
          <w:szCs w:val="32"/>
        </w:rPr>
      </w:pPr>
      <w:r>
        <w:rPr>
          <w:rFonts w:hint="eastAsia" w:ascii="仿宋" w:hAnsi="仿宋" w:eastAsia="仿宋" w:cs="仿宋"/>
          <w:sz w:val="32"/>
          <w:szCs w:val="32"/>
        </w:rPr>
        <w:t>突出政务、加强事务、提升服务、力求重点工作出精品，难点工作求突破、基础工作有创新、常规工作见特色。以机关干部作风量化指标为依据，增强了工作综合服务实力。加快乡镇政府职能转变，强化基层服务能力。按照预算法及有关组织收入；按照年初的预算及支出规定管理办法安排支出；依据省、市、县调资文件规定做好全镇调资工作，做好领导交办的其他各项工作。按时完成公共财政预算、经营预算、社会保险基金预算、政府性基金预算草案。按时汇编年度预决算草案。稳定适度的低生育水平，有效保障计划生育家庭生活水平，提高妇女生殖健康水平，降低出生缺陷的发生，有效遏制出生人口性别比偏高问题。全面完成上级部门下达的各项任务指标。文化发展环境健康向上，文化发展能力不断增强，文化艺术资源丰富，公共文化服务和文化艺术生产水平不断提高，河北文化影响力日益扩大。确保各项文化业务工作谋划到位、顺利开展。提高农产品质量和产量，优化农业产业结构，提高经济效益，增加农民收入。全面完成上级部门下达的各项任务指标。研制并示范推广林业生产管理的良种、良方，提高林产品品质和经济效益。全面完成上级主管部门给政府下达的林业生产任务指标，加强林业管理，确保森林病虫害发生率，防止率。研制并示范推广水利工程和管理技术，提高水利事业管理水平。依法依规完成工作任务，推进科学决策。</w:t>
      </w:r>
    </w:p>
    <w:p>
      <w:pPr>
        <w:ind w:firstLine="643" w:firstLineChars="200"/>
        <w:jc w:val="left"/>
        <w:outlineLvl w:val="0"/>
        <w:rPr>
          <w:rFonts w:ascii="宋体" w:cs="宋体"/>
          <w:b/>
          <w:bCs/>
          <w:sz w:val="32"/>
          <w:szCs w:val="32"/>
        </w:rPr>
      </w:pPr>
    </w:p>
    <w:p>
      <w:pPr>
        <w:ind w:firstLine="643" w:firstLineChars="200"/>
        <w:jc w:val="left"/>
        <w:outlineLvl w:val="0"/>
        <w:rPr>
          <w:rFonts w:ascii="宋体" w:cs="宋体"/>
          <w:b/>
          <w:bCs/>
          <w:sz w:val="32"/>
          <w:szCs w:val="32"/>
        </w:rPr>
      </w:pPr>
    </w:p>
    <w:p>
      <w:pPr>
        <w:ind w:firstLine="643" w:firstLineChars="200"/>
        <w:jc w:val="left"/>
        <w:outlineLvl w:val="0"/>
        <w:rPr>
          <w:rFonts w:ascii="宋体" w:cs="宋体"/>
          <w:b/>
          <w:bCs/>
          <w:sz w:val="32"/>
          <w:szCs w:val="32"/>
        </w:rPr>
      </w:pPr>
      <w:r>
        <w:rPr>
          <w:rFonts w:hint="eastAsia" w:ascii="宋体" w:hAnsi="宋体" w:cs="宋体"/>
          <w:b/>
          <w:bCs/>
          <w:sz w:val="32"/>
          <w:szCs w:val="32"/>
        </w:rPr>
        <w:t>部门职责及工作活动绩效目标指标：</w:t>
      </w:r>
    </w:p>
    <w:p>
      <w:pPr>
        <w:jc w:val="left"/>
        <w:outlineLvl w:val="0"/>
        <w:rPr>
          <w:rFonts w:ascii="宋体" w:cs="Times New Roman"/>
          <w:b/>
          <w:bCs/>
          <w:sz w:val="32"/>
          <w:szCs w:val="32"/>
        </w:rPr>
      </w:pPr>
    </w:p>
    <w:p>
      <w:pPr>
        <w:jc w:val="center"/>
        <w:outlineLvl w:val="0"/>
        <w:rPr>
          <w:rFonts w:ascii="方正小标宋_GBK" w:hAnsi="Times New Roman" w:eastAsia="方正小标宋_GBK" w:cs="Times New Roman"/>
          <w:sz w:val="32"/>
          <w:szCs w:val="32"/>
        </w:rPr>
      </w:pPr>
      <w:r>
        <w:rPr>
          <w:rFonts w:hint="eastAsia" w:ascii="方正小标宋_GBK" w:hAnsi="Times New Roman" w:eastAsia="方正小标宋_GBK" w:cs="方正小标宋_GBK"/>
          <w:sz w:val="32"/>
          <w:szCs w:val="32"/>
        </w:rPr>
        <w:t>部门职责</w:t>
      </w:r>
      <w:r>
        <w:rPr>
          <w:rFonts w:ascii="方正小标宋_GBK" w:hAnsi="Times New Roman" w:eastAsia="方正小标宋_GBK" w:cs="方正小标宋_GBK"/>
          <w:sz w:val="32"/>
          <w:szCs w:val="32"/>
        </w:rPr>
        <w:t>-</w:t>
      </w:r>
      <w:r>
        <w:rPr>
          <w:rFonts w:hint="eastAsia" w:ascii="方正小标宋_GBK" w:hAnsi="Times New Roman" w:eastAsia="方正小标宋_GBK" w:cs="方正小标宋_GBK"/>
          <w:sz w:val="32"/>
          <w:szCs w:val="32"/>
        </w:rPr>
        <w:t>工作活动绩效目标</w:t>
      </w:r>
      <w:bookmarkEnd w:id="0"/>
      <w:r>
        <w:rPr>
          <w:rFonts w:hint="eastAsia" w:ascii="方正小标宋_GBK" w:hAnsi="Times New Roman" w:eastAsia="方正小标宋_GBK" w:cs="方正小标宋_GBK"/>
          <w:sz w:val="32"/>
          <w:szCs w:val="32"/>
        </w:rPr>
        <w:t>部门职责</w:t>
      </w:r>
      <w:r>
        <w:rPr>
          <w:rFonts w:ascii="方正小标宋_GBK" w:hAnsi="Times New Roman" w:eastAsia="方正小标宋_GBK" w:cs="方正小标宋_GBK"/>
          <w:sz w:val="32"/>
          <w:szCs w:val="32"/>
        </w:rPr>
        <w:t>-</w:t>
      </w:r>
      <w:r>
        <w:rPr>
          <w:rFonts w:hint="eastAsia" w:ascii="方正小标宋_GBK" w:hAnsi="Times New Roman" w:eastAsia="方正小标宋_GBK" w:cs="方正小标宋_GBK"/>
          <w:sz w:val="32"/>
          <w:szCs w:val="32"/>
        </w:rPr>
        <w:t>工作活动绩效目标</w:t>
      </w:r>
    </w:p>
    <w:p>
      <w:pPr>
        <w:outlineLvl w:val="0"/>
        <w:rPr>
          <w:rFonts w:ascii="方正小标宋_GBK" w:hAnsi="Times New Roman" w:eastAsia="方正小标宋_GBK" w:cs="Times New Roman"/>
          <w:sz w:val="32"/>
          <w:szCs w:val="32"/>
        </w:rPr>
      </w:pPr>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香河县刘宋镇人民政府</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_GB2312" w:hAnsi="Times New Roman" w:eastAsia="仿宋_GB2312" w:cs="Times New Roman"/>
                <w:sz w:val="18"/>
                <w:szCs w:val="18"/>
              </w:rPr>
            </w:pPr>
            <w:r>
              <w:rPr>
                <w:rFonts w:hint="eastAsia" w:ascii="仿宋_GB2312" w:hAnsi="Times New Roman" w:eastAsia="仿宋_GB2312" w:cs="仿宋_GB2312"/>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职责活动</w:t>
            </w:r>
          </w:p>
        </w:tc>
        <w:tc>
          <w:tcPr>
            <w:tcW w:w="1276" w:type="dxa"/>
            <w:vMerge w:val="restart"/>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年度预算数</w:t>
            </w:r>
          </w:p>
        </w:tc>
        <w:tc>
          <w:tcPr>
            <w:tcW w:w="2976" w:type="dxa"/>
            <w:vMerge w:val="restart"/>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内容描述</w:t>
            </w:r>
          </w:p>
        </w:tc>
        <w:tc>
          <w:tcPr>
            <w:tcW w:w="2976" w:type="dxa"/>
            <w:vMerge w:val="restart"/>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绩效目标</w:t>
            </w:r>
          </w:p>
        </w:tc>
        <w:tc>
          <w:tcPr>
            <w:tcW w:w="1417" w:type="dxa"/>
            <w:vMerge w:val="restart"/>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绩效指标</w:t>
            </w:r>
          </w:p>
        </w:tc>
        <w:tc>
          <w:tcPr>
            <w:tcW w:w="2948" w:type="dxa"/>
            <w:gridSpan w:val="4"/>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_GB2312" w:hAnsi="Times New Roman" w:eastAsia="仿宋_GB2312" w:cs="Times New Roman"/>
                <w:sz w:val="18"/>
                <w:szCs w:val="18"/>
              </w:rPr>
            </w:pPr>
          </w:p>
        </w:tc>
        <w:tc>
          <w:tcPr>
            <w:tcW w:w="1276" w:type="dxa"/>
            <w:vMerge w:val="continue"/>
            <w:vAlign w:val="center"/>
          </w:tcPr>
          <w:p>
            <w:pPr>
              <w:spacing w:line="300" w:lineRule="exact"/>
              <w:jc w:val="left"/>
              <w:outlineLvl w:val="0"/>
              <w:rPr>
                <w:rFonts w:ascii="仿宋_GB2312" w:hAnsi="Times New Roman" w:eastAsia="仿宋_GB2312" w:cs="Times New Roman"/>
                <w:sz w:val="18"/>
                <w:szCs w:val="18"/>
              </w:rPr>
            </w:pPr>
          </w:p>
        </w:tc>
        <w:tc>
          <w:tcPr>
            <w:tcW w:w="2976" w:type="dxa"/>
            <w:vMerge w:val="continue"/>
            <w:vAlign w:val="center"/>
          </w:tcPr>
          <w:p>
            <w:pPr>
              <w:spacing w:line="300" w:lineRule="exact"/>
              <w:jc w:val="left"/>
              <w:outlineLvl w:val="0"/>
              <w:rPr>
                <w:rFonts w:ascii="仿宋_GB2312" w:hAnsi="Times New Roman" w:eastAsia="仿宋_GB2312" w:cs="Times New Roman"/>
                <w:sz w:val="18"/>
                <w:szCs w:val="18"/>
              </w:rPr>
            </w:pPr>
          </w:p>
        </w:tc>
        <w:tc>
          <w:tcPr>
            <w:tcW w:w="2976" w:type="dxa"/>
            <w:vMerge w:val="continue"/>
            <w:vAlign w:val="center"/>
          </w:tcPr>
          <w:p>
            <w:pPr>
              <w:spacing w:line="300" w:lineRule="exact"/>
              <w:jc w:val="left"/>
              <w:outlineLvl w:val="0"/>
              <w:rPr>
                <w:rFonts w:ascii="仿宋_GB2312" w:hAnsi="Times New Roman" w:eastAsia="仿宋_GB2312" w:cs="Times New Roman"/>
                <w:sz w:val="18"/>
                <w:szCs w:val="18"/>
              </w:rPr>
            </w:pPr>
          </w:p>
        </w:tc>
        <w:tc>
          <w:tcPr>
            <w:tcW w:w="1417" w:type="dxa"/>
            <w:vMerge w:val="continue"/>
            <w:vAlign w:val="center"/>
          </w:tcPr>
          <w:p>
            <w:pPr>
              <w:spacing w:line="300" w:lineRule="exact"/>
              <w:jc w:val="left"/>
              <w:outlineLvl w:val="0"/>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优</w:t>
            </w:r>
          </w:p>
        </w:tc>
        <w:tc>
          <w:tcPr>
            <w:tcW w:w="737" w:type="dxa"/>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良</w:t>
            </w:r>
          </w:p>
        </w:tc>
        <w:tc>
          <w:tcPr>
            <w:tcW w:w="737" w:type="dxa"/>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中</w:t>
            </w:r>
          </w:p>
        </w:tc>
        <w:tc>
          <w:tcPr>
            <w:tcW w:w="737" w:type="dxa"/>
            <w:vAlign w:val="center"/>
          </w:tcPr>
          <w:p>
            <w:pPr>
              <w:spacing w:line="300" w:lineRule="exact"/>
              <w:jc w:val="center"/>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政务管理</w:t>
            </w:r>
          </w:p>
        </w:tc>
        <w:tc>
          <w:tcPr>
            <w:tcW w:w="1276" w:type="dxa"/>
            <w:vAlign w:val="center"/>
          </w:tcPr>
          <w:p>
            <w:pPr>
              <w:spacing w:line="300" w:lineRule="exact"/>
              <w:jc w:val="left"/>
              <w:rPr>
                <w:rFonts w:ascii="仿宋_GB2312" w:hAnsi="Times New Roman" w:eastAsia="仿宋_GB2312" w:cs="仿宋_GB2312"/>
                <w:sz w:val="18"/>
                <w:szCs w:val="18"/>
              </w:rPr>
            </w:pPr>
            <w:r>
              <w:rPr>
                <w:rFonts w:ascii="仿宋_GB2312" w:hAnsi="Times New Roman" w:eastAsia="仿宋_GB2312" w:cs="仿宋_GB2312"/>
                <w:sz w:val="18"/>
                <w:szCs w:val="18"/>
              </w:rPr>
              <w:t>40</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负责镇各部门的综合协调、上报下达、文印收发、信息反馈、档案管理、信访、机关事务工作；负责基层组织建设、党员教育管理、干部考核与目标管理、老干部管理、纪检、宣传、农村精神文明建设、劳动人事、机构编制管理等工作；负责党委与人大、武装部及群团组织的联络与协调。负责各项统计工作、承办党委、政府交办的其他工作。</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突出政务、加强事务、提升服务、力求重点工作出精品，难点工作求突破、基础工作有创新、常规工作见特色。以机关干部作风量化指标为依据，增强了工作综合服务实力。</w:t>
            </w:r>
          </w:p>
        </w:tc>
        <w:tc>
          <w:tcPr>
            <w:tcW w:w="1417" w:type="dxa"/>
            <w:vAlign w:val="center"/>
          </w:tcPr>
          <w:p>
            <w:pPr>
              <w:spacing w:line="300" w:lineRule="exact"/>
              <w:jc w:val="left"/>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综合业务管理</w:t>
            </w:r>
          </w:p>
        </w:tc>
        <w:tc>
          <w:tcPr>
            <w:tcW w:w="1276" w:type="dxa"/>
            <w:vAlign w:val="center"/>
          </w:tcPr>
          <w:p>
            <w:pPr>
              <w:spacing w:line="300" w:lineRule="exact"/>
              <w:jc w:val="left"/>
              <w:rPr>
                <w:rFonts w:ascii="仿宋_GB2312" w:hAnsi="Times New Roman" w:eastAsia="仿宋_GB2312" w:cs="仿宋_GB2312"/>
                <w:sz w:val="18"/>
                <w:szCs w:val="18"/>
              </w:rPr>
            </w:pPr>
            <w:r>
              <w:rPr>
                <w:rFonts w:ascii="仿宋_GB2312" w:hAnsi="Times New Roman" w:eastAsia="仿宋_GB2312" w:cs="仿宋_GB2312"/>
                <w:sz w:val="18"/>
                <w:szCs w:val="18"/>
              </w:rPr>
              <w:t>40</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完善机关的各项规章制度，做好协调，以尊重其他部门为前提，认真做到和其他部门一起努力完成镇党委政府交办的各项工作；加强机关内部事务管理。</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加快乡镇政府职能转变，强化基层服务能力。</w:t>
            </w:r>
          </w:p>
        </w:tc>
        <w:tc>
          <w:tcPr>
            <w:tcW w:w="1417"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促进服务型政府建设为群众提供服务的满意度</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0.9</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0.7</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0.6</w:t>
            </w:r>
          </w:p>
        </w:tc>
        <w:tc>
          <w:tcPr>
            <w:tcW w:w="737" w:type="dxa"/>
            <w:vAlign w:val="center"/>
          </w:tcPr>
          <w:p>
            <w:pPr>
              <w:spacing w:line="300" w:lineRule="exact"/>
              <w:jc w:val="center"/>
              <w:rPr>
                <w:rFonts w:ascii="仿宋_GB2312" w:hAnsi="Times New Roman" w:eastAsia="仿宋_GB2312" w:cs="Times New Roman"/>
                <w:sz w:val="18"/>
                <w:szCs w:val="18"/>
              </w:rPr>
            </w:pPr>
            <w:r>
              <w:rPr>
                <w:rFonts w:ascii="仿宋_GB2312" w:hAnsi="Times New Roman" w:eastAsia="仿宋_GB2312" w:cs="仿宋_GB2312"/>
                <w:sz w:val="18"/>
                <w:szCs w:val="18"/>
              </w:rPr>
              <w:t>60%</w:t>
            </w:r>
            <w:r>
              <w:rPr>
                <w:rFonts w:hint="eastAsia" w:ascii="仿宋_GB2312" w:hAnsi="Times New Roman" w:eastAsia="仿宋_GB2312" w:cs="仿宋_GB2312"/>
                <w:sz w:val="18"/>
                <w:szCs w:val="18"/>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财经管理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负责本镇财政预算的执行、组织本镇财政收支，作好各项税的征收，遵守财政纪律。</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按照预算法及有关组织收入；按照年初的预算及支出规定管理办法安排支出；依据省、市、县调资文件规定做好全镇调资工作，做好领导交办的其他各项工作</w:t>
            </w:r>
          </w:p>
        </w:tc>
        <w:tc>
          <w:tcPr>
            <w:tcW w:w="1417" w:type="dxa"/>
            <w:vAlign w:val="center"/>
          </w:tcPr>
          <w:p>
            <w:pPr>
              <w:spacing w:line="300" w:lineRule="exact"/>
              <w:jc w:val="left"/>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财经业务管理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保障各项财政工作的正常运行，监督、指导本镇财经工作的进行。</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按时完成公共财政预算、经营预算、社会保险基金预算、政府性基金预算草案。按时汇编年度预决算草案。</w:t>
            </w:r>
          </w:p>
        </w:tc>
        <w:tc>
          <w:tcPr>
            <w:tcW w:w="1417" w:type="dxa"/>
            <w:vAlign w:val="center"/>
          </w:tcPr>
          <w:p>
            <w:pPr>
              <w:spacing w:line="300" w:lineRule="exact"/>
              <w:jc w:val="left"/>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计划生育管理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宣传贯彻计划生育的方针、政策；落实人口与计划生育的各项任务；制定本镇人口发展的长期规划和年度计划；管理技术队伍和基层计生组织建设，负责镇流动人口的计划生育工作；审核一胎和照顾二胎生育手续，发放《生育证》及基层计生合同的管理工作；受理计划生育来信来访，查处违反计划生育政策的案件；监督、指导本镇计划生育服务中心的工作；承办县计划生育局、党委、政府交办的其他工作。</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稳定适度的低生育水平，有效保障计划生育家庭生活水平，提高妇女生殖健康水平，降低出生缺陷的发生，有效遏制出生人口性别比偏高问题。</w:t>
            </w:r>
          </w:p>
        </w:tc>
        <w:tc>
          <w:tcPr>
            <w:tcW w:w="1417" w:type="dxa"/>
            <w:vAlign w:val="center"/>
          </w:tcPr>
          <w:p>
            <w:pPr>
              <w:spacing w:line="300" w:lineRule="exact"/>
              <w:jc w:val="left"/>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计划生育群众工作</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宣传贯彻党和政府关于计划生育的方针、政策、法律、法规、认真落实计划生育法。</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全面完成上级部门下达的各项任务指标</w:t>
            </w:r>
          </w:p>
        </w:tc>
        <w:tc>
          <w:tcPr>
            <w:tcW w:w="1417"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各项工作落实到位率</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1</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0.98</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0.9</w:t>
            </w:r>
          </w:p>
        </w:tc>
        <w:tc>
          <w:tcPr>
            <w:tcW w:w="737" w:type="dxa"/>
            <w:vAlign w:val="center"/>
          </w:tcPr>
          <w:p>
            <w:pPr>
              <w:spacing w:line="300" w:lineRule="exact"/>
              <w:jc w:val="center"/>
              <w:rPr>
                <w:rFonts w:ascii="仿宋_GB2312" w:hAnsi="Times New Roman" w:eastAsia="仿宋_GB2312" w:cs="Times New Roman"/>
                <w:sz w:val="18"/>
                <w:szCs w:val="18"/>
              </w:rPr>
            </w:pPr>
            <w:r>
              <w:rPr>
                <w:rFonts w:ascii="仿宋_GB2312" w:hAnsi="Times New Roman" w:eastAsia="仿宋_GB2312" w:cs="仿宋_GB2312"/>
                <w:sz w:val="18"/>
                <w:szCs w:val="18"/>
              </w:rPr>
              <w:t>90%</w:t>
            </w:r>
            <w:r>
              <w:rPr>
                <w:rFonts w:hint="eastAsia" w:ascii="仿宋_GB2312" w:hAnsi="Times New Roman" w:eastAsia="仿宋_GB2312" w:cs="仿宋_GB2312"/>
                <w:sz w:val="18"/>
                <w:szCs w:val="18"/>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农村文化管理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负责对群众进行爱国主义、集体主义、社会主义宣传教育；组织开展群众性的文娱、体育活动；辅导和培训群众文艺骨干；搜集、整理民族民间文化艺术遗产；对当地的文化市场进行监督、检查和管理；全面贯彻上级党委和政府在新闻宣传的路线、方针、政策和国家法律、法规、把握号舆论导向。搞好节目转播和办好地方节目。</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文化发展环境健康向上，文化发展能力不断增强，文化艺术资源丰富，公共文化服务和文化艺术生产水平不断提高，河北文化影响力日益扩大。</w:t>
            </w:r>
          </w:p>
        </w:tc>
        <w:tc>
          <w:tcPr>
            <w:tcW w:w="1417" w:type="dxa"/>
            <w:vAlign w:val="center"/>
          </w:tcPr>
          <w:p>
            <w:pPr>
              <w:spacing w:line="300" w:lineRule="exact"/>
              <w:jc w:val="left"/>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综合业务管理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加强宣传文化站的建设，为群众提供丰富多彩的科技信息服务和健康向上的娱乐活动提高农民文化素质和生活质量。</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确保各项文化业务工作谋划到位、顺利开展。</w:t>
            </w:r>
          </w:p>
        </w:tc>
        <w:tc>
          <w:tcPr>
            <w:tcW w:w="1417"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各项工作落实到位率</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0.9</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0.85</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0.35</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农业管理</w:t>
            </w:r>
          </w:p>
        </w:tc>
        <w:tc>
          <w:tcPr>
            <w:tcW w:w="1276" w:type="dxa"/>
            <w:vAlign w:val="center"/>
          </w:tcPr>
          <w:p>
            <w:pPr>
              <w:spacing w:line="300" w:lineRule="exact"/>
              <w:jc w:val="left"/>
              <w:rPr>
                <w:rFonts w:ascii="仿宋_GB2312" w:hAnsi="Times New Roman" w:eastAsia="仿宋_GB2312" w:cs="仿宋_GB2312"/>
                <w:sz w:val="18"/>
                <w:szCs w:val="18"/>
              </w:rPr>
            </w:pPr>
            <w:r>
              <w:rPr>
                <w:rFonts w:ascii="仿宋_GB2312" w:hAnsi="Times New Roman" w:eastAsia="仿宋_GB2312" w:cs="仿宋_GB2312"/>
                <w:sz w:val="18"/>
                <w:szCs w:val="18"/>
              </w:rPr>
              <w:t>1523</w:t>
            </w:r>
            <w:r>
              <w:rPr>
                <w:rFonts w:hint="eastAsia" w:ascii="仿宋_GB2312" w:hAnsi="Times New Roman" w:eastAsia="仿宋_GB2312" w:cs="仿宋_GB2312"/>
                <w:sz w:val="18"/>
                <w:szCs w:val="18"/>
              </w:rPr>
              <w:t>．</w:t>
            </w:r>
            <w:r>
              <w:rPr>
                <w:rFonts w:ascii="仿宋_GB2312" w:hAnsi="Times New Roman" w:eastAsia="仿宋_GB2312" w:cs="仿宋_GB2312"/>
                <w:sz w:val="18"/>
                <w:szCs w:val="18"/>
              </w:rPr>
              <w:t>95</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负责国家有关农业和农机工作的各项方针、政策的贯彻执行和监督检查，参与农村改革，指导农林和农机经济体制改革；协同指导种植业结构调整，管理农业科研和基数实验、示范、推广等。</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提高农产品质量和产量，优化农业产业结构，提高经济效益，增加农民收入。</w:t>
            </w:r>
          </w:p>
        </w:tc>
        <w:tc>
          <w:tcPr>
            <w:tcW w:w="1417" w:type="dxa"/>
            <w:vAlign w:val="center"/>
          </w:tcPr>
          <w:p>
            <w:pPr>
              <w:spacing w:line="300" w:lineRule="exact"/>
              <w:jc w:val="left"/>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综合业务管理</w:t>
            </w:r>
          </w:p>
        </w:tc>
        <w:tc>
          <w:tcPr>
            <w:tcW w:w="1276" w:type="dxa"/>
            <w:vAlign w:val="center"/>
          </w:tcPr>
          <w:p>
            <w:pPr>
              <w:spacing w:line="300" w:lineRule="exact"/>
              <w:jc w:val="left"/>
              <w:rPr>
                <w:rFonts w:ascii="仿宋_GB2312" w:hAnsi="Times New Roman" w:eastAsia="仿宋_GB2312" w:cs="仿宋_GB2312"/>
                <w:sz w:val="18"/>
                <w:szCs w:val="18"/>
              </w:rPr>
            </w:pPr>
            <w:r>
              <w:rPr>
                <w:rFonts w:ascii="仿宋_GB2312" w:hAnsi="Times New Roman" w:eastAsia="仿宋_GB2312" w:cs="仿宋_GB2312"/>
                <w:sz w:val="18"/>
                <w:szCs w:val="18"/>
              </w:rPr>
              <w:t>1523</w:t>
            </w:r>
            <w:r>
              <w:rPr>
                <w:rFonts w:hint="eastAsia" w:ascii="仿宋_GB2312" w:hAnsi="Times New Roman" w:eastAsia="仿宋_GB2312" w:cs="仿宋_GB2312"/>
                <w:sz w:val="18"/>
                <w:szCs w:val="18"/>
              </w:rPr>
              <w:t>．</w:t>
            </w:r>
            <w:r>
              <w:rPr>
                <w:rFonts w:ascii="仿宋_GB2312" w:hAnsi="Times New Roman" w:eastAsia="仿宋_GB2312" w:cs="仿宋_GB2312"/>
                <w:sz w:val="18"/>
                <w:szCs w:val="18"/>
              </w:rPr>
              <w:t>95</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贯彻党在农村的各项路线、方针政策，强化服务职能，保护农民利益，调动农民的生产积极性。</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全面完成上级部门下达的各项任务指标。</w:t>
            </w:r>
          </w:p>
        </w:tc>
        <w:tc>
          <w:tcPr>
            <w:tcW w:w="1417"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工作任务完成率</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1</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0.8</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0.5</w:t>
            </w:r>
          </w:p>
        </w:tc>
        <w:tc>
          <w:tcPr>
            <w:tcW w:w="737" w:type="dxa"/>
            <w:vAlign w:val="center"/>
          </w:tcPr>
          <w:p>
            <w:pPr>
              <w:spacing w:line="300" w:lineRule="exact"/>
              <w:jc w:val="center"/>
              <w:rPr>
                <w:rFonts w:ascii="仿宋_GB2312" w:hAnsi="Times New Roman" w:eastAsia="仿宋_GB2312" w:cs="Times New Roman"/>
                <w:sz w:val="18"/>
                <w:szCs w:val="18"/>
              </w:rPr>
            </w:pPr>
            <w:r>
              <w:rPr>
                <w:rFonts w:ascii="仿宋_GB2312" w:hAnsi="Times New Roman" w:eastAsia="仿宋_GB2312" w:cs="仿宋_GB2312"/>
                <w:sz w:val="18"/>
                <w:szCs w:val="18"/>
              </w:rPr>
              <w:t>50%</w:t>
            </w:r>
            <w:r>
              <w:rPr>
                <w:rFonts w:hint="eastAsia" w:ascii="仿宋_GB2312" w:hAnsi="Times New Roman" w:eastAsia="仿宋_GB2312" w:cs="仿宋_GB2312"/>
                <w:sz w:val="18"/>
                <w:szCs w:val="18"/>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林业管理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组织植树造林、园林绿化、防风固沙和基地建设。</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研制并示范推广林业生产管理的良种、良方，提高林产品品质和经济效益</w:t>
            </w:r>
          </w:p>
        </w:tc>
        <w:tc>
          <w:tcPr>
            <w:tcW w:w="1417" w:type="dxa"/>
            <w:vAlign w:val="center"/>
          </w:tcPr>
          <w:p>
            <w:pPr>
              <w:spacing w:line="300" w:lineRule="exact"/>
              <w:jc w:val="left"/>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综合业务管理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植树造林</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全面完成上级主管部门给政府下达的林业生产任务指标，加强林业管理，确保森林病虫害发生率，防止率。</w:t>
            </w:r>
          </w:p>
        </w:tc>
        <w:tc>
          <w:tcPr>
            <w:tcW w:w="1417"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依法依规完成年度工作</w:t>
            </w:r>
          </w:p>
        </w:tc>
        <w:tc>
          <w:tcPr>
            <w:tcW w:w="737" w:type="dxa"/>
            <w:vAlign w:val="center"/>
          </w:tcPr>
          <w:p>
            <w:pPr>
              <w:spacing w:line="300" w:lineRule="exact"/>
              <w:jc w:val="center"/>
              <w:rPr>
                <w:rFonts w:ascii="仿宋_GB2312" w:hAnsi="Times New Roman" w:eastAsia="仿宋_GB2312" w:cs="仿宋_GB2312"/>
                <w:sz w:val="18"/>
                <w:szCs w:val="18"/>
              </w:rPr>
            </w:pPr>
            <w:r>
              <w:rPr>
                <w:rFonts w:hint="eastAsia" w:ascii="仿宋_GB2312" w:hAnsi="Times New Roman" w:eastAsia="仿宋_GB2312" w:cs="仿宋_GB2312"/>
                <w:sz w:val="18"/>
                <w:szCs w:val="18"/>
              </w:rPr>
              <w:t>完成任务</w:t>
            </w:r>
            <w:r>
              <w:rPr>
                <w:rFonts w:ascii="仿宋_GB2312" w:hAnsi="Times New Roman" w:eastAsia="仿宋_GB2312" w:cs="仿宋_GB2312"/>
                <w:sz w:val="18"/>
                <w:szCs w:val="18"/>
              </w:rPr>
              <w:t>90</w:t>
            </w:r>
          </w:p>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w:t>
            </w:r>
          </w:p>
        </w:tc>
        <w:tc>
          <w:tcPr>
            <w:tcW w:w="737" w:type="dxa"/>
            <w:vAlign w:val="center"/>
          </w:tcPr>
          <w:p>
            <w:pPr>
              <w:spacing w:line="300" w:lineRule="exact"/>
              <w:jc w:val="center"/>
              <w:rPr>
                <w:rFonts w:ascii="仿宋_GB2312" w:hAnsi="Times New Roman" w:eastAsia="仿宋_GB2312" w:cs="仿宋_GB2312"/>
                <w:sz w:val="18"/>
                <w:szCs w:val="18"/>
              </w:rPr>
            </w:pPr>
            <w:r>
              <w:rPr>
                <w:rFonts w:hint="eastAsia" w:ascii="仿宋_GB2312" w:hAnsi="Times New Roman" w:eastAsia="仿宋_GB2312" w:cs="仿宋_GB2312"/>
                <w:sz w:val="18"/>
                <w:szCs w:val="18"/>
              </w:rPr>
              <w:t>完成任务</w:t>
            </w:r>
            <w:r>
              <w:rPr>
                <w:rFonts w:ascii="仿宋_GB2312" w:hAnsi="Times New Roman" w:eastAsia="仿宋_GB2312" w:cs="仿宋_GB2312"/>
                <w:sz w:val="18"/>
                <w:szCs w:val="18"/>
              </w:rPr>
              <w:t>80</w:t>
            </w:r>
          </w:p>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w:t>
            </w:r>
          </w:p>
        </w:tc>
        <w:tc>
          <w:tcPr>
            <w:tcW w:w="737" w:type="dxa"/>
            <w:vAlign w:val="center"/>
          </w:tcPr>
          <w:p>
            <w:pPr>
              <w:spacing w:line="300" w:lineRule="exact"/>
              <w:jc w:val="center"/>
              <w:rPr>
                <w:rFonts w:ascii="仿宋_GB2312" w:hAnsi="Times New Roman" w:eastAsia="仿宋_GB2312" w:cs="仿宋_GB2312"/>
                <w:sz w:val="18"/>
                <w:szCs w:val="18"/>
              </w:rPr>
            </w:pPr>
            <w:r>
              <w:rPr>
                <w:rFonts w:hint="eastAsia" w:ascii="仿宋_GB2312" w:hAnsi="Times New Roman" w:eastAsia="仿宋_GB2312" w:cs="仿宋_GB2312"/>
                <w:sz w:val="18"/>
                <w:szCs w:val="18"/>
              </w:rPr>
              <w:t>完成任务</w:t>
            </w:r>
            <w:r>
              <w:rPr>
                <w:rFonts w:ascii="仿宋_GB2312" w:hAnsi="Times New Roman" w:eastAsia="仿宋_GB2312" w:cs="仿宋_GB2312"/>
                <w:sz w:val="18"/>
                <w:szCs w:val="18"/>
              </w:rPr>
              <w:t>70</w:t>
            </w:r>
          </w:p>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w:t>
            </w:r>
          </w:p>
        </w:tc>
        <w:tc>
          <w:tcPr>
            <w:tcW w:w="737" w:type="dxa"/>
            <w:vAlign w:val="center"/>
          </w:tcPr>
          <w:p>
            <w:pPr>
              <w:spacing w:line="300" w:lineRule="exact"/>
              <w:jc w:val="center"/>
              <w:rPr>
                <w:rFonts w:ascii="仿宋_GB2312" w:hAnsi="Times New Roman" w:eastAsia="仿宋_GB2312" w:cs="仿宋_GB2312"/>
                <w:sz w:val="18"/>
                <w:szCs w:val="18"/>
              </w:rPr>
            </w:pPr>
            <w:r>
              <w:rPr>
                <w:rFonts w:hint="eastAsia" w:ascii="仿宋_GB2312" w:hAnsi="Times New Roman" w:eastAsia="仿宋_GB2312" w:cs="仿宋_GB2312"/>
                <w:sz w:val="18"/>
                <w:szCs w:val="18"/>
              </w:rPr>
              <w:t>完成任务</w:t>
            </w:r>
            <w:r>
              <w:rPr>
                <w:rFonts w:ascii="仿宋_GB2312" w:hAnsi="Times New Roman" w:eastAsia="仿宋_GB2312" w:cs="仿宋_GB2312"/>
                <w:sz w:val="18"/>
                <w:szCs w:val="18"/>
              </w:rPr>
              <w:t>60</w:t>
            </w:r>
          </w:p>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水利管理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协助县镇、村街搞好农田水利工程规划设计，解决群众用水方面发生的矛盾，宣传水法，为群众多办水利上的实事。</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研制并示范推广水利工程和管理技术，提高水利事业管理水平</w:t>
            </w:r>
          </w:p>
        </w:tc>
        <w:tc>
          <w:tcPr>
            <w:tcW w:w="1417" w:type="dxa"/>
            <w:vAlign w:val="center"/>
          </w:tcPr>
          <w:p>
            <w:pPr>
              <w:spacing w:line="300" w:lineRule="exact"/>
              <w:jc w:val="left"/>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c>
          <w:tcPr>
            <w:tcW w:w="737" w:type="dxa"/>
            <w:vAlign w:val="center"/>
          </w:tcPr>
          <w:p>
            <w:pPr>
              <w:spacing w:line="300" w:lineRule="exact"/>
              <w:jc w:val="center"/>
              <w:rPr>
                <w:rFonts w:ascii="仿宋_GB2312" w:hAnsi="Times New Roman" w:eastAsia="仿宋_GB2312"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Times New Roman" w:eastAsia="仿宋_GB2312" w:cs="Times New Roman"/>
                <w:b/>
                <w:bCs/>
                <w:sz w:val="18"/>
                <w:szCs w:val="18"/>
              </w:rPr>
            </w:pPr>
            <w:r>
              <w:rPr>
                <w:rFonts w:hint="eastAsia" w:ascii="仿宋_GB2312" w:hAnsi="Times New Roman" w:eastAsia="仿宋_GB2312" w:cs="仿宋_GB2312"/>
                <w:b/>
                <w:bCs/>
                <w:sz w:val="18"/>
                <w:szCs w:val="18"/>
              </w:rPr>
              <w:t>综合业务管理</w:t>
            </w:r>
          </w:p>
        </w:tc>
        <w:tc>
          <w:tcPr>
            <w:tcW w:w="1276" w:type="dxa"/>
            <w:vAlign w:val="center"/>
          </w:tcPr>
          <w:p>
            <w:pPr>
              <w:spacing w:line="300" w:lineRule="exact"/>
              <w:jc w:val="left"/>
              <w:rPr>
                <w:rFonts w:ascii="仿宋_GB2312" w:hAnsi="Times New Roman" w:eastAsia="仿宋_GB2312" w:cs="Times New Roman"/>
                <w:sz w:val="18"/>
                <w:szCs w:val="18"/>
              </w:rPr>
            </w:pP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做好防汛抗旱工作，完成局里布置的农田基本建设任务。</w:t>
            </w:r>
          </w:p>
        </w:tc>
        <w:tc>
          <w:tcPr>
            <w:tcW w:w="2976"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依法依规完成工作任务，推进科学决策</w:t>
            </w:r>
          </w:p>
        </w:tc>
        <w:tc>
          <w:tcPr>
            <w:tcW w:w="1417" w:type="dxa"/>
            <w:vAlign w:val="center"/>
          </w:tcPr>
          <w:p>
            <w:pPr>
              <w:spacing w:line="300" w:lineRule="exact"/>
              <w:jc w:val="left"/>
              <w:rPr>
                <w:rFonts w:ascii="仿宋_GB2312" w:hAnsi="Times New Roman" w:eastAsia="仿宋_GB2312" w:cs="Times New Roman"/>
                <w:sz w:val="18"/>
                <w:szCs w:val="18"/>
              </w:rPr>
            </w:pPr>
            <w:r>
              <w:rPr>
                <w:rFonts w:hint="eastAsia" w:ascii="仿宋_GB2312" w:hAnsi="Times New Roman" w:eastAsia="仿宋_GB2312" w:cs="仿宋_GB2312"/>
                <w:sz w:val="18"/>
                <w:szCs w:val="18"/>
              </w:rPr>
              <w:t>工作任务完成率</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1</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0.8</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0.7</w:t>
            </w:r>
          </w:p>
        </w:tc>
        <w:tc>
          <w:tcPr>
            <w:tcW w:w="737" w:type="dxa"/>
            <w:vAlign w:val="center"/>
          </w:tcPr>
          <w:p>
            <w:pPr>
              <w:spacing w:line="300" w:lineRule="exact"/>
              <w:jc w:val="center"/>
              <w:rPr>
                <w:rFonts w:ascii="仿宋_GB2312" w:hAnsi="Times New Roman" w:eastAsia="仿宋_GB2312" w:cs="仿宋_GB2312"/>
                <w:sz w:val="18"/>
                <w:szCs w:val="18"/>
              </w:rPr>
            </w:pPr>
            <w:r>
              <w:rPr>
                <w:rFonts w:ascii="仿宋_GB2312" w:hAnsi="Times New Roman" w:eastAsia="仿宋_GB2312" w:cs="仿宋_GB2312"/>
                <w:sz w:val="18"/>
                <w:szCs w:val="18"/>
              </w:rPr>
              <w:t>0.6</w:t>
            </w:r>
          </w:p>
        </w:tc>
      </w:tr>
    </w:tbl>
    <w:p>
      <w:pPr>
        <w:autoSpaceDE w:val="0"/>
        <w:autoSpaceDN w:val="0"/>
        <w:adjustRightInd w:val="0"/>
        <w:ind w:left="200"/>
        <w:jc w:val="left"/>
        <w:rPr>
          <w:rFonts w:ascii="仿宋_GB2312" w:eastAsia="仿宋_GB2312" w:cs="Times New Roman"/>
          <w:kern w:val="0"/>
          <w:sz w:val="18"/>
          <w:szCs w:val="18"/>
          <w:lang w:val="zh-CN"/>
        </w:rPr>
      </w:pPr>
    </w:p>
    <w:p>
      <w:pPr>
        <w:autoSpaceDE w:val="0"/>
        <w:autoSpaceDN w:val="0"/>
        <w:adjustRightInd w:val="0"/>
        <w:ind w:left="200"/>
        <w:jc w:val="left"/>
        <w:rPr>
          <w:rFonts w:ascii="宋体" w:cs="Times New Roman"/>
          <w:kern w:val="0"/>
          <w:sz w:val="18"/>
          <w:szCs w:val="18"/>
          <w:lang w:val="zh-CN"/>
        </w:rPr>
      </w:pPr>
    </w:p>
    <w:p>
      <w:pPr>
        <w:ind w:firstLine="640"/>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hd w:val="clear" w:color="auto" w:fill="FFFFFF"/>
        <w:spacing w:line="580" w:lineRule="atLeast"/>
        <w:ind w:firstLine="640"/>
        <w:jc w:val="left"/>
        <w:rPr>
          <w:rFonts w:hint="eastAsia" w:ascii="仿宋" w:hAnsi="仿宋" w:eastAsia="仿宋" w:cs="仿宋"/>
          <w:sz w:val="32"/>
          <w:szCs w:val="32"/>
        </w:rPr>
      </w:pPr>
      <w:bookmarkStart w:id="1" w:name="_Toc471398468"/>
      <w:r>
        <w:rPr>
          <w:rFonts w:ascii="宋体" w:hAnsi="宋体" w:cs="宋体"/>
          <w:sz w:val="32"/>
          <w:szCs w:val="32"/>
        </w:rPr>
        <w:t xml:space="preserve">  </w:t>
      </w:r>
      <w:bookmarkEnd w:id="1"/>
      <w:r>
        <w:rPr>
          <w:rFonts w:hint="eastAsia" w:ascii="仿宋" w:hAnsi="仿宋" w:eastAsia="仿宋" w:cs="仿宋"/>
          <w:sz w:val="32"/>
          <w:szCs w:val="32"/>
        </w:rPr>
        <w:t>本年度部门预算共计安排政府采购项目为</w:t>
      </w:r>
      <w:r>
        <w:rPr>
          <w:rFonts w:ascii="仿宋" w:hAnsi="仿宋" w:eastAsia="仿宋" w:cs="仿宋"/>
          <w:sz w:val="32"/>
          <w:szCs w:val="32"/>
        </w:rPr>
        <w:t>0</w:t>
      </w:r>
      <w:r>
        <w:rPr>
          <w:rFonts w:hint="eastAsia" w:ascii="仿宋" w:hAnsi="仿宋" w:eastAsia="仿宋" w:cs="仿宋"/>
          <w:sz w:val="32"/>
          <w:szCs w:val="32"/>
        </w:rPr>
        <w:t>类</w:t>
      </w:r>
      <w:r>
        <w:rPr>
          <w:rFonts w:ascii="仿宋" w:hAnsi="仿宋" w:eastAsia="仿宋" w:cs="仿宋"/>
          <w:sz w:val="32"/>
          <w:szCs w:val="32"/>
        </w:rPr>
        <w:t>0</w:t>
      </w:r>
      <w:r>
        <w:rPr>
          <w:rFonts w:hint="eastAsia" w:ascii="仿宋" w:hAnsi="仿宋" w:eastAsia="仿宋" w:cs="仿宋"/>
          <w:sz w:val="32"/>
          <w:szCs w:val="32"/>
        </w:rPr>
        <w:t>个，涉及金额</w:t>
      </w:r>
      <w:r>
        <w:rPr>
          <w:rFonts w:ascii="仿宋" w:hAnsi="仿宋" w:eastAsia="仿宋" w:cs="仿宋"/>
          <w:sz w:val="32"/>
          <w:szCs w:val="32"/>
        </w:rPr>
        <w:t>0</w:t>
      </w:r>
      <w:r>
        <w:rPr>
          <w:rFonts w:hint="eastAsia" w:ascii="仿宋" w:hAnsi="仿宋" w:eastAsia="仿宋" w:cs="仿宋"/>
          <w:sz w:val="32"/>
          <w:szCs w:val="32"/>
        </w:rPr>
        <w:t>万元，其中：货物类</w:t>
      </w:r>
      <w:r>
        <w:rPr>
          <w:rFonts w:ascii="仿宋" w:hAnsi="仿宋" w:eastAsia="仿宋" w:cs="仿宋"/>
          <w:sz w:val="32"/>
          <w:szCs w:val="32"/>
        </w:rPr>
        <w:t>0</w:t>
      </w:r>
      <w:r>
        <w:rPr>
          <w:rFonts w:hint="eastAsia" w:ascii="仿宋" w:hAnsi="仿宋" w:eastAsia="仿宋" w:cs="仿宋"/>
          <w:sz w:val="32"/>
          <w:szCs w:val="32"/>
        </w:rPr>
        <w:t>个，涉及金额</w:t>
      </w:r>
      <w:r>
        <w:rPr>
          <w:rFonts w:ascii="仿宋" w:hAnsi="仿宋" w:eastAsia="仿宋" w:cs="仿宋"/>
          <w:sz w:val="32"/>
          <w:szCs w:val="32"/>
        </w:rPr>
        <w:t>0</w:t>
      </w:r>
      <w:r>
        <w:rPr>
          <w:rFonts w:hint="eastAsia" w:ascii="仿宋" w:hAnsi="仿宋" w:eastAsia="仿宋" w:cs="仿宋"/>
          <w:sz w:val="32"/>
          <w:szCs w:val="32"/>
        </w:rPr>
        <w:t>万元，主要包括</w:t>
      </w:r>
      <w:r>
        <w:rPr>
          <w:rFonts w:ascii="仿宋" w:hAnsi="仿宋" w:eastAsia="仿宋" w:cs="仿宋"/>
          <w:sz w:val="32"/>
          <w:szCs w:val="32"/>
        </w:rPr>
        <w:t>0</w:t>
      </w:r>
      <w:r>
        <w:rPr>
          <w:rFonts w:hint="eastAsia" w:ascii="仿宋" w:hAnsi="仿宋" w:eastAsia="仿宋" w:cs="仿宋"/>
          <w:sz w:val="32"/>
          <w:szCs w:val="32"/>
        </w:rPr>
        <w:t>物品</w:t>
      </w:r>
      <w:r>
        <w:rPr>
          <w:rFonts w:ascii="仿宋" w:hAnsi="仿宋" w:eastAsia="仿宋" w:cs="仿宋"/>
          <w:sz w:val="32"/>
          <w:szCs w:val="32"/>
        </w:rPr>
        <w:t>0</w:t>
      </w:r>
      <w:r>
        <w:rPr>
          <w:rFonts w:hint="eastAsia" w:ascii="仿宋" w:hAnsi="仿宋" w:eastAsia="仿宋" w:cs="仿宋"/>
          <w:sz w:val="32"/>
          <w:szCs w:val="32"/>
        </w:rPr>
        <w:t>件（台、套）；工程类</w:t>
      </w:r>
      <w:r>
        <w:rPr>
          <w:rFonts w:ascii="仿宋" w:hAnsi="仿宋" w:eastAsia="仿宋" w:cs="仿宋"/>
          <w:sz w:val="32"/>
          <w:szCs w:val="32"/>
        </w:rPr>
        <w:t>0</w:t>
      </w:r>
      <w:r>
        <w:rPr>
          <w:rFonts w:hint="eastAsia" w:ascii="仿宋" w:hAnsi="仿宋" w:eastAsia="仿宋" w:cs="仿宋"/>
          <w:sz w:val="32"/>
          <w:szCs w:val="32"/>
        </w:rPr>
        <w:t>个，涉及金额</w:t>
      </w:r>
      <w:r>
        <w:rPr>
          <w:rFonts w:ascii="仿宋" w:hAnsi="仿宋" w:eastAsia="仿宋" w:cs="仿宋"/>
          <w:sz w:val="32"/>
          <w:szCs w:val="32"/>
        </w:rPr>
        <w:t>0</w:t>
      </w:r>
      <w:r>
        <w:rPr>
          <w:rFonts w:hint="eastAsia" w:ascii="仿宋" w:hAnsi="仿宋" w:eastAsia="仿宋" w:cs="仿宋"/>
          <w:sz w:val="32"/>
          <w:szCs w:val="32"/>
        </w:rPr>
        <w:t>万元，主要包括</w:t>
      </w:r>
      <w:r>
        <w:rPr>
          <w:rFonts w:ascii="仿宋" w:hAnsi="仿宋" w:eastAsia="仿宋" w:cs="仿宋"/>
          <w:sz w:val="32"/>
          <w:szCs w:val="32"/>
        </w:rPr>
        <w:t>0</w:t>
      </w:r>
      <w:r>
        <w:rPr>
          <w:rFonts w:hint="eastAsia" w:ascii="仿宋" w:hAnsi="仿宋" w:eastAsia="仿宋" w:cs="仿宋"/>
          <w:sz w:val="32"/>
          <w:szCs w:val="32"/>
        </w:rPr>
        <w:t>工程</w:t>
      </w:r>
      <w:r>
        <w:rPr>
          <w:rFonts w:ascii="仿宋" w:hAnsi="仿宋" w:eastAsia="仿宋" w:cs="仿宋"/>
          <w:sz w:val="32"/>
          <w:szCs w:val="32"/>
        </w:rPr>
        <w:t>0</w:t>
      </w:r>
      <w:r>
        <w:rPr>
          <w:rFonts w:hint="eastAsia" w:ascii="仿宋" w:hAnsi="仿宋" w:eastAsia="仿宋" w:cs="仿宋"/>
          <w:sz w:val="32"/>
          <w:szCs w:val="32"/>
        </w:rPr>
        <w:t>项；服务类</w:t>
      </w:r>
      <w:r>
        <w:rPr>
          <w:rFonts w:ascii="仿宋" w:hAnsi="仿宋" w:eastAsia="仿宋" w:cs="仿宋"/>
          <w:sz w:val="32"/>
          <w:szCs w:val="32"/>
        </w:rPr>
        <w:t>0</w:t>
      </w:r>
      <w:r>
        <w:rPr>
          <w:rFonts w:hint="eastAsia" w:ascii="仿宋" w:hAnsi="仿宋" w:eastAsia="仿宋" w:cs="仿宋"/>
          <w:sz w:val="32"/>
          <w:szCs w:val="32"/>
        </w:rPr>
        <w:t>个，涉及金额</w:t>
      </w:r>
      <w:r>
        <w:rPr>
          <w:rFonts w:ascii="仿宋" w:hAnsi="仿宋" w:eastAsia="仿宋" w:cs="仿宋"/>
          <w:sz w:val="32"/>
          <w:szCs w:val="32"/>
        </w:rPr>
        <w:t>0</w:t>
      </w:r>
      <w:r>
        <w:rPr>
          <w:rFonts w:hint="eastAsia" w:ascii="仿宋" w:hAnsi="仿宋" w:eastAsia="仿宋" w:cs="仿宋"/>
          <w:sz w:val="32"/>
          <w:szCs w:val="32"/>
        </w:rPr>
        <w:t>万元，主要包括</w:t>
      </w:r>
      <w:r>
        <w:rPr>
          <w:rFonts w:ascii="仿宋" w:hAnsi="仿宋" w:eastAsia="仿宋" w:cs="仿宋"/>
          <w:sz w:val="32"/>
          <w:szCs w:val="32"/>
        </w:rPr>
        <w:t>0</w:t>
      </w:r>
      <w:r>
        <w:rPr>
          <w:rFonts w:hint="eastAsia" w:ascii="仿宋" w:hAnsi="仿宋" w:eastAsia="仿宋" w:cs="仿宋"/>
          <w:sz w:val="32"/>
          <w:szCs w:val="32"/>
        </w:rPr>
        <w:t>服务</w:t>
      </w:r>
      <w:r>
        <w:rPr>
          <w:rFonts w:ascii="仿宋" w:hAnsi="仿宋" w:eastAsia="仿宋" w:cs="仿宋"/>
          <w:sz w:val="32"/>
          <w:szCs w:val="32"/>
        </w:rPr>
        <w:t>0</w:t>
      </w:r>
      <w:r>
        <w:rPr>
          <w:rFonts w:hint="eastAsia" w:ascii="仿宋" w:hAnsi="仿宋" w:eastAsia="仿宋" w:cs="仿宋"/>
          <w:sz w:val="32"/>
          <w:szCs w:val="32"/>
        </w:rPr>
        <w:t>项。、</w:t>
      </w:r>
    </w:p>
    <w:p>
      <w:pPr>
        <w:widowControl/>
        <w:shd w:val="clear" w:color="auto" w:fill="FFFFFF"/>
        <w:spacing w:line="580" w:lineRule="atLeast"/>
        <w:ind w:firstLine="640"/>
        <w:jc w:val="left"/>
        <w:rPr>
          <w:rFonts w:hint="eastAsia" w:ascii="仿宋" w:hAnsi="仿宋" w:eastAsia="仿宋" w:cs="仿宋"/>
          <w:sz w:val="32"/>
          <w:szCs w:val="32"/>
        </w:rPr>
      </w:pPr>
    </w:p>
    <w:p>
      <w:pPr>
        <w:widowControl/>
        <w:shd w:val="clear" w:color="auto" w:fill="FFFFFF"/>
        <w:spacing w:line="580" w:lineRule="atLeast"/>
        <w:ind w:firstLine="640"/>
        <w:jc w:val="left"/>
        <w:rPr>
          <w:rFonts w:hint="eastAsia" w:ascii="仿宋" w:hAnsi="仿宋" w:eastAsia="仿宋" w:cs="仿宋"/>
          <w:sz w:val="32"/>
          <w:szCs w:val="32"/>
        </w:rPr>
      </w:pPr>
    </w:p>
    <w:p>
      <w:pPr>
        <w:widowControl/>
        <w:shd w:val="clear" w:color="auto" w:fill="FFFFFF"/>
        <w:spacing w:line="580" w:lineRule="atLeast"/>
        <w:ind w:firstLine="640"/>
        <w:jc w:val="left"/>
        <w:rPr>
          <w:rFonts w:hint="eastAsia" w:ascii="仿宋" w:hAnsi="仿宋" w:eastAsia="仿宋" w:cs="仿宋"/>
          <w:sz w:val="32"/>
          <w:szCs w:val="32"/>
        </w:rPr>
      </w:pPr>
    </w:p>
    <w:p>
      <w:pPr>
        <w:widowControl/>
        <w:shd w:val="clear" w:color="auto" w:fill="FFFFFF"/>
        <w:spacing w:line="580" w:lineRule="atLeast"/>
        <w:ind w:firstLine="640"/>
        <w:jc w:val="left"/>
        <w:rPr>
          <w:rFonts w:hint="eastAsia" w:ascii="仿宋" w:hAnsi="仿宋" w:eastAsia="仿宋" w:cs="仿宋"/>
          <w:sz w:val="32"/>
          <w:szCs w:val="32"/>
        </w:rPr>
      </w:pPr>
    </w:p>
    <w:p>
      <w:pPr>
        <w:jc w:val="center"/>
        <w:outlineLvl w:val="0"/>
        <w:rPr>
          <w:rFonts w:ascii="宋体" w:hAnsi="宋体"/>
          <w:sz w:val="32"/>
          <w:szCs w:val="24"/>
        </w:rPr>
      </w:pPr>
      <w:r>
        <w:rPr>
          <w:rFonts w:hint="eastAsia" w:ascii="宋体" w:hAnsi="宋体"/>
          <w:sz w:val="32"/>
          <w:szCs w:val="24"/>
        </w:rPr>
        <w:t>部门政府采购预算</w:t>
      </w:r>
    </w:p>
    <w:tbl>
      <w:tblPr>
        <w:tblStyle w:val="6"/>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hint="eastAsia" w:ascii="方正小标宋_GBK" w:hAnsi="Times New Roman" w:eastAsia="方正小标宋_GBK"/>
                <w:sz w:val="18"/>
                <w:szCs w:val="18"/>
              </w:rPr>
              <w:t>981香河县刘宋镇人民政府</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widowControl/>
        <w:shd w:val="clear" w:color="auto" w:fill="FFFFFF"/>
        <w:spacing w:line="580" w:lineRule="atLeast"/>
        <w:ind w:firstLine="640"/>
        <w:jc w:val="left"/>
        <w:rPr>
          <w:rFonts w:hint="eastAsia" w:ascii="仿宋" w:hAnsi="仿宋" w:eastAsia="仿宋" w:cs="Times New Roman"/>
          <w:sz w:val="32"/>
          <w:szCs w:val="32"/>
        </w:rPr>
      </w:pPr>
    </w:p>
    <w:p>
      <w:pPr>
        <w:widowControl/>
        <w:shd w:val="clear" w:color="auto" w:fill="FFFFFF"/>
        <w:spacing w:line="580" w:lineRule="atLeast"/>
        <w:ind w:firstLine="640"/>
        <w:jc w:val="left"/>
        <w:rPr>
          <w:rFonts w:hint="eastAsia" w:ascii="仿宋" w:hAnsi="仿宋" w:eastAsia="仿宋" w:cs="Times New Roman"/>
          <w:sz w:val="32"/>
          <w:szCs w:val="32"/>
        </w:rPr>
      </w:pPr>
    </w:p>
    <w:p>
      <w:pPr>
        <w:widowControl/>
        <w:shd w:val="clear" w:color="auto" w:fill="FFFFFF"/>
        <w:spacing w:line="580" w:lineRule="atLeast"/>
        <w:ind w:firstLine="640"/>
        <w:jc w:val="left"/>
        <w:rPr>
          <w:rFonts w:ascii="仿宋" w:hAnsi="仿宋" w:eastAsia="仿宋"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spacing w:line="560" w:lineRule="exact"/>
        <w:ind w:firstLine="640" w:firstLineChars="200"/>
        <w:rPr>
          <w:rFonts w:ascii="仿宋" w:hAnsi="仿宋" w:eastAsia="仿宋" w:cs="Times New Roman"/>
          <w:b/>
          <w:bCs/>
          <w:sz w:val="32"/>
          <w:szCs w:val="32"/>
          <w:highlight w:val="red"/>
        </w:rPr>
      </w:pPr>
      <w:r>
        <w:rPr>
          <w:rFonts w:hint="eastAsia" w:ascii="仿宋" w:hAnsi="仿宋" w:eastAsia="仿宋" w:cs="仿宋"/>
          <w:sz w:val="32"/>
          <w:szCs w:val="32"/>
        </w:rPr>
        <w:t>香河县刘宋镇人民政府（含所属单位）上年末固定资产金额为</w:t>
      </w:r>
      <w:r>
        <w:rPr>
          <w:rFonts w:ascii="仿宋" w:hAnsi="仿宋" w:eastAsia="仿宋" w:cs="仿宋"/>
          <w:sz w:val="32"/>
          <w:szCs w:val="32"/>
        </w:rPr>
        <w:t>349.7689</w:t>
      </w:r>
      <w:r>
        <w:rPr>
          <w:rFonts w:hint="eastAsia" w:ascii="仿宋" w:hAnsi="仿宋" w:eastAsia="仿宋" w:cs="仿宋"/>
          <w:sz w:val="32"/>
          <w:szCs w:val="32"/>
        </w:rPr>
        <w:t>万元，本年度各单位（处室）没有拟购置固定资产。详见下表。</w:t>
      </w:r>
    </w:p>
    <w:p>
      <w:pPr>
        <w:ind w:firstLine="640"/>
        <w:rPr>
          <w:rFonts w:ascii="仿宋" w:hAnsi="仿宋" w:eastAsia="仿宋" w:cs="Times New Roman"/>
          <w:sz w:val="32"/>
          <w:szCs w:val="32"/>
        </w:rPr>
      </w:pPr>
    </w:p>
    <w:tbl>
      <w:tblPr>
        <w:tblStyle w:val="6"/>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Times New Roman"/>
                <w:kern w:val="0"/>
                <w:sz w:val="22"/>
                <w:szCs w:val="22"/>
              </w:rPr>
            </w:pPr>
            <w:r>
              <w:rPr>
                <w:rFonts w:hint="eastAsia" w:ascii="宋体" w:hAnsi="宋体" w:cs="宋体"/>
                <w:kern w:val="0"/>
                <w:sz w:val="22"/>
                <w:szCs w:val="22"/>
              </w:rPr>
              <w:t>编制部门：香河县刘宋镇人民政府</w:t>
            </w:r>
          </w:p>
        </w:tc>
        <w:tc>
          <w:tcPr>
            <w:tcW w:w="5103" w:type="dxa"/>
            <w:tcBorders>
              <w:top w:val="nil"/>
              <w:left w:val="nil"/>
              <w:bottom w:val="nil"/>
              <w:right w:val="nil"/>
            </w:tcBorders>
            <w:vAlign w:val="center"/>
          </w:tcPr>
          <w:p>
            <w:pPr>
              <w:widowControl/>
              <w:jc w:val="left"/>
              <w:rPr>
                <w:rFonts w:ascii="宋体" w:cs="Times New Roman"/>
                <w:kern w:val="0"/>
                <w:sz w:val="22"/>
                <w:szCs w:val="22"/>
              </w:rPr>
            </w:pPr>
            <w:r>
              <w:rPr>
                <w:rFonts w:hint="eastAsia" w:ascii="宋体" w:hAnsi="宋体" w:cs="宋体"/>
                <w:kern w:val="0"/>
                <w:sz w:val="22"/>
                <w:szCs w:val="22"/>
              </w:rPr>
              <w:t>截止时间：</w:t>
            </w:r>
            <w:r>
              <w:rPr>
                <w:rFonts w:ascii="宋体" w:hAnsi="宋体" w:cs="宋体"/>
                <w:kern w:val="0"/>
                <w:sz w:val="22"/>
                <w:szCs w:val="22"/>
              </w:rPr>
              <w:t>2017</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cs="宋体"/>
                <w:kern w:val="0"/>
                <w:sz w:val="22"/>
                <w:szCs w:val="22"/>
              </w:rPr>
              <w:t>375</w:t>
            </w:r>
            <w:r>
              <w:rPr>
                <w:rFonts w:hint="eastAsia" w:ascii="宋体" w:cs="宋体"/>
                <w:kern w:val="0"/>
                <w:sz w:val="22"/>
                <w:szCs w:val="22"/>
                <w:lang w:eastAsia="zh-CN"/>
              </w:rPr>
              <w:t>.</w:t>
            </w:r>
            <w:r>
              <w:rPr>
                <w:rFonts w:hint="eastAsia" w:ascii="宋体" w:cs="宋体"/>
                <w:kern w:val="0"/>
                <w:sz w:val="22"/>
                <w:szCs w:val="22"/>
              </w:rPr>
              <w:t>2961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6678</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160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6589</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158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2</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22.5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w:t>
            </w:r>
            <w:r>
              <w:rPr>
                <w:rFonts w:ascii="宋体" w:cs="宋体"/>
                <w:kern w:val="0"/>
                <w:sz w:val="22"/>
                <w:szCs w:val="22"/>
              </w:rPr>
              <w:t>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kern w:val="0"/>
                <w:sz w:val="22"/>
                <w:szCs w:val="22"/>
                <w:lang w:val="en-US" w:eastAsia="zh-CN"/>
              </w:rPr>
            </w:pPr>
            <w:r>
              <w:rPr>
                <w:rFonts w:hint="eastAsia" w:ascii="宋体" w:cs="Times New Roman"/>
                <w:kern w:val="0"/>
                <w:sz w:val="22"/>
                <w:szCs w:val="22"/>
                <w:lang w:val="en-US" w:eastAsia="zh-CN"/>
              </w:rPr>
              <w:t>42</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cs="宋体"/>
                <w:kern w:val="0"/>
                <w:sz w:val="22"/>
                <w:szCs w:val="22"/>
              </w:rPr>
              <w:t>192</w:t>
            </w:r>
            <w:r>
              <w:rPr>
                <w:rFonts w:hint="eastAsia" w:ascii="宋体" w:cs="宋体"/>
                <w:kern w:val="0"/>
                <w:sz w:val="22"/>
                <w:szCs w:val="22"/>
                <w:lang w:eastAsia="zh-CN"/>
              </w:rPr>
              <w:t>.</w:t>
            </w:r>
            <w:r>
              <w:rPr>
                <w:rFonts w:hint="eastAsia" w:ascii="宋体" w:cs="宋体"/>
                <w:kern w:val="0"/>
                <w:sz w:val="22"/>
                <w:szCs w:val="22"/>
              </w:rPr>
              <w:t>7961</w:t>
            </w:r>
          </w:p>
        </w:tc>
      </w:tr>
    </w:tbl>
    <w:p>
      <w:pPr>
        <w:ind w:firstLine="640"/>
        <w:rPr>
          <w:rFonts w:ascii="黑体" w:hAnsi="黑体" w:eastAsia="黑体" w:cs="Times New Roman"/>
          <w:sz w:val="32"/>
          <w:szCs w:val="32"/>
        </w:rPr>
      </w:pPr>
      <w:r>
        <w:rPr>
          <w:rFonts w:hint="eastAsia" w:ascii="黑体" w:hAnsi="黑体" w:eastAsia="黑体" w:cs="黑体"/>
          <w:sz w:val="32"/>
          <w:szCs w:val="32"/>
        </w:rPr>
        <w:t>八、名词解释</w:t>
      </w:r>
    </w:p>
    <w:p>
      <w:pPr>
        <w:pStyle w:val="10"/>
        <w:ind w:firstLine="630" w:firstLineChars="196"/>
        <w:rPr>
          <w:rFonts w:ascii="仿宋_GB2312" w:eastAsia="仿宋_GB2312"/>
          <w:b/>
          <w:bCs/>
          <w:sz w:val="32"/>
          <w:szCs w:val="32"/>
        </w:rPr>
      </w:pPr>
      <w:r>
        <w:rPr>
          <w:rFonts w:ascii="仿宋_GB2312" w:eastAsia="仿宋_GB2312" w:cs="仿宋_GB2312"/>
          <w:b/>
          <w:bCs/>
          <w:sz w:val="32"/>
          <w:szCs w:val="32"/>
        </w:rPr>
        <w:t>1</w:t>
      </w:r>
      <w:r>
        <w:rPr>
          <w:rFonts w:hint="eastAsia" w:ascii="仿宋_GB2312" w:hAnsi="FZFangSong-Z02" w:eastAsia="仿宋_GB2312" w:cs="仿宋_GB2312"/>
          <w:sz w:val="32"/>
          <w:szCs w:val="32"/>
        </w:rPr>
        <w:t>、一般公共预算拨款收入：指县级财政当年拨付</w:t>
      </w:r>
      <w:bookmarkStart w:id="2" w:name="_GoBack"/>
      <w:bookmarkEnd w:id="2"/>
      <w:r>
        <w:rPr>
          <w:rFonts w:hint="eastAsia" w:ascii="仿宋_GB2312" w:hAnsi="FZFangSong-Z02" w:eastAsia="仿宋_GB2312" w:cs="仿宋_GB2312"/>
          <w:sz w:val="32"/>
          <w:szCs w:val="32"/>
        </w:rPr>
        <w:t>的资金。</w:t>
      </w:r>
    </w:p>
    <w:p>
      <w:pPr>
        <w:pStyle w:val="10"/>
        <w:rPr>
          <w:rFonts w:ascii="仿宋_GB2312" w:hAnsi="FZFangSong-Z02" w:eastAsia="仿宋_GB2312"/>
          <w:sz w:val="32"/>
          <w:szCs w:val="32"/>
        </w:rPr>
      </w:pPr>
      <w:r>
        <w:rPr>
          <w:rFonts w:ascii="仿宋_GB2312" w:eastAsia="仿宋_GB2312" w:cs="仿宋_GB2312"/>
          <w:b/>
          <w:bCs/>
          <w:sz w:val="32"/>
          <w:szCs w:val="32"/>
        </w:rPr>
        <w:t xml:space="preserve">    2</w:t>
      </w:r>
      <w:r>
        <w:rPr>
          <w:rFonts w:hint="eastAsia" w:ascii="仿宋_GB2312" w:hAnsi="FZFangSong-Z02" w:eastAsia="仿宋_GB2312" w:cs="仿宋_GB2312"/>
          <w:sz w:val="32"/>
          <w:szCs w:val="32"/>
        </w:rPr>
        <w:t>、事业收入：指事业单位开展专业业务活动及辅助活动所取得的收入。</w:t>
      </w:r>
    </w:p>
    <w:p>
      <w:pPr>
        <w:pStyle w:val="10"/>
        <w:rPr>
          <w:rFonts w:ascii="仿宋_GB2312" w:hAnsi="FZFangSong-Z02" w:eastAsia="仿宋_GB2312"/>
          <w:sz w:val="32"/>
          <w:szCs w:val="32"/>
        </w:rPr>
      </w:pPr>
      <w:r>
        <w:rPr>
          <w:rFonts w:ascii="仿宋_GB2312" w:eastAsia="仿宋_GB2312" w:cs="仿宋_GB2312"/>
          <w:b/>
          <w:bCs/>
          <w:sz w:val="32"/>
          <w:szCs w:val="32"/>
        </w:rPr>
        <w:t xml:space="preserve">    3</w:t>
      </w:r>
      <w:r>
        <w:rPr>
          <w:rFonts w:hint="eastAsia" w:ascii="仿宋_GB2312" w:hAnsi="FZFangSong-Z02" w:eastAsia="仿宋_GB2312" w:cs="仿宋_GB2312"/>
          <w:sz w:val="32"/>
          <w:szCs w:val="32"/>
        </w:rPr>
        <w:t>、其他收入：指除上述</w:t>
      </w:r>
      <w:r>
        <w:rPr>
          <w:rFonts w:hint="eastAsia" w:ascii="仿宋_GB2312" w:eastAsia="仿宋_GB2312" w:cs="仿宋_GB2312"/>
          <w:sz w:val="32"/>
          <w:szCs w:val="32"/>
        </w:rPr>
        <w:t>“</w:t>
      </w:r>
      <w:r>
        <w:rPr>
          <w:rFonts w:hint="eastAsia" w:ascii="仿宋_GB2312" w:hAnsi="FZFangSong-Z02" w:eastAsia="仿宋_GB2312" w:cs="仿宋_GB2312"/>
          <w:sz w:val="32"/>
          <w:szCs w:val="32"/>
        </w:rPr>
        <w:t>财政拨款收入</w:t>
      </w:r>
      <w:r>
        <w:rPr>
          <w:rFonts w:hint="eastAsia" w:ascii="仿宋_GB2312" w:eastAsia="仿宋_GB2312" w:cs="仿宋_GB2312"/>
          <w:sz w:val="32"/>
          <w:szCs w:val="32"/>
        </w:rPr>
        <w:t>”</w:t>
      </w:r>
      <w:r>
        <w:rPr>
          <w:rFonts w:hint="eastAsia" w:ascii="仿宋_GB2312" w:hAnsi="FZFangSong-Z02" w:eastAsia="仿宋_GB2312" w:cs="仿宋_GB2312"/>
          <w:sz w:val="32"/>
          <w:szCs w:val="32"/>
        </w:rPr>
        <w:t>、</w:t>
      </w:r>
      <w:r>
        <w:rPr>
          <w:rFonts w:hint="eastAsia" w:ascii="仿宋_GB2312" w:eastAsia="仿宋_GB2312" w:cs="仿宋_GB2312"/>
          <w:sz w:val="32"/>
          <w:szCs w:val="32"/>
        </w:rPr>
        <w:t>“</w:t>
      </w:r>
      <w:r>
        <w:rPr>
          <w:rFonts w:hint="eastAsia" w:ascii="仿宋_GB2312" w:hAnsi="FZFangSong-Z02" w:eastAsia="仿宋_GB2312" w:cs="仿宋_GB2312"/>
          <w:sz w:val="32"/>
          <w:szCs w:val="32"/>
        </w:rPr>
        <w:t>事业收入</w:t>
      </w:r>
      <w:r>
        <w:rPr>
          <w:rFonts w:hint="eastAsia" w:ascii="仿宋_GB2312" w:eastAsia="仿宋_GB2312" w:cs="仿宋_GB2312"/>
          <w:sz w:val="32"/>
          <w:szCs w:val="32"/>
        </w:rPr>
        <w:t>”</w:t>
      </w:r>
      <w:r>
        <w:rPr>
          <w:rFonts w:hint="eastAsia" w:ascii="仿宋_GB2312" w:hAnsi="FZFangSong-Z02" w:eastAsia="仿宋_GB2312" w:cs="仿宋_GB2312"/>
          <w:sz w:val="32"/>
          <w:szCs w:val="32"/>
        </w:rPr>
        <w:t>等以外的收入。主要是按规定动用的租房收入、存款利息收入等。</w:t>
      </w:r>
    </w:p>
    <w:p>
      <w:pPr>
        <w:pStyle w:val="10"/>
        <w:rPr>
          <w:rFonts w:ascii="仿宋_GB2312" w:hAnsi="FZFangSong-Z02" w:eastAsia="仿宋_GB2312"/>
          <w:sz w:val="32"/>
          <w:szCs w:val="32"/>
        </w:rPr>
      </w:pPr>
      <w:r>
        <w:rPr>
          <w:rFonts w:ascii="仿宋_GB2312" w:eastAsia="仿宋_GB2312" w:cs="仿宋_GB2312"/>
          <w:b/>
          <w:bCs/>
          <w:sz w:val="32"/>
          <w:szCs w:val="32"/>
        </w:rPr>
        <w:t xml:space="preserve">    4</w:t>
      </w:r>
      <w:r>
        <w:rPr>
          <w:rFonts w:hint="eastAsia" w:ascii="仿宋_GB2312" w:hAnsi="FZFangSong-Z02" w:eastAsia="仿宋_GB2312" w:cs="仿宋_GB2312"/>
          <w:sz w:val="32"/>
          <w:szCs w:val="32"/>
        </w:rPr>
        <w:t>、基本支出：</w:t>
      </w:r>
      <w:r>
        <w:rPr>
          <w:rFonts w:hint="eastAsia" w:ascii="仿宋_GB2312" w:eastAsia="仿宋_GB2312" w:cs="仿宋_GB2312"/>
          <w:sz w:val="32"/>
          <w:szCs w:val="32"/>
        </w:rPr>
        <w:t>指为保障机构正常运转、完成日常工作任务而发生的人员支出和公用支出。</w:t>
      </w:r>
    </w:p>
    <w:p>
      <w:pPr>
        <w:rPr>
          <w:rFonts w:ascii="仿宋_GB2312" w:eastAsia="仿宋_GB2312" w:cs="Times New Roman"/>
          <w:sz w:val="32"/>
          <w:szCs w:val="32"/>
        </w:rPr>
      </w:pPr>
      <w:r>
        <w:rPr>
          <w:rFonts w:ascii="仿宋_GB2312" w:eastAsia="仿宋_GB2312" w:cs="仿宋_GB2312"/>
          <w:b/>
          <w:bCs/>
          <w:sz w:val="32"/>
          <w:szCs w:val="32"/>
        </w:rPr>
        <w:t xml:space="preserve">    5</w:t>
      </w:r>
      <w:r>
        <w:rPr>
          <w:rFonts w:hint="eastAsia" w:ascii="仿宋_GB2312" w:hAnsi="FZFangSong-Z02" w:eastAsia="仿宋_GB2312" w:cs="仿宋_GB2312"/>
          <w:sz w:val="32"/>
          <w:szCs w:val="32"/>
        </w:rPr>
        <w:t>、项目支出：</w:t>
      </w:r>
      <w:r>
        <w:rPr>
          <w:rFonts w:hint="eastAsia" w:ascii="仿宋_GB2312" w:eastAsia="仿宋_GB2312" w:cs="仿宋_GB2312"/>
          <w:sz w:val="32"/>
          <w:szCs w:val="32"/>
        </w:rPr>
        <w:t>指在基本支出之外为完成特定行政任务和事业发展目标所发生的支出。</w:t>
      </w:r>
    </w:p>
    <w:p>
      <w:pPr>
        <w:pStyle w:val="10"/>
        <w:rPr>
          <w:rFonts w:ascii="仿宋_GB2312" w:eastAsia="仿宋_GB2312"/>
          <w:sz w:val="32"/>
          <w:szCs w:val="32"/>
        </w:rPr>
      </w:pPr>
      <w:r>
        <w:rPr>
          <w:rFonts w:ascii="仿宋_GB2312" w:eastAsia="仿宋_GB2312" w:cs="仿宋_GB2312"/>
          <w:b/>
          <w:bCs/>
          <w:sz w:val="32"/>
          <w:szCs w:val="32"/>
        </w:rPr>
        <w:t xml:space="preserve">    6</w:t>
      </w:r>
      <w:r>
        <w:rPr>
          <w:rFonts w:hint="eastAsia" w:ascii="仿宋_GB2312" w:hAnsi="FZFangSong-Z02" w:eastAsia="仿宋_GB2312" w:cs="仿宋_GB2312"/>
          <w:sz w:val="32"/>
          <w:szCs w:val="32"/>
        </w:rPr>
        <w:t>、上缴上级支出：</w:t>
      </w:r>
      <w:r>
        <w:rPr>
          <w:rFonts w:hint="eastAsia" w:ascii="仿宋_GB2312" w:eastAsia="仿宋_GB2312" w:cs="仿宋_GB2312"/>
          <w:sz w:val="32"/>
          <w:szCs w:val="32"/>
        </w:rPr>
        <w:t>指下级单位上缴上级的支出。</w:t>
      </w:r>
    </w:p>
    <w:p>
      <w:pPr>
        <w:pStyle w:val="10"/>
        <w:rPr>
          <w:rFonts w:ascii="仿宋_GB2312" w:hAnsi="FZFangSong-Z02" w:eastAsia="仿宋_GB2312"/>
          <w:sz w:val="32"/>
          <w:szCs w:val="32"/>
        </w:rPr>
      </w:pPr>
      <w:r>
        <w:rPr>
          <w:rFonts w:ascii="仿宋_GB2312" w:eastAsia="仿宋_GB2312" w:cs="仿宋_GB2312"/>
          <w:b/>
          <w:bCs/>
          <w:sz w:val="32"/>
          <w:szCs w:val="32"/>
        </w:rPr>
        <w:t xml:space="preserve">    7</w:t>
      </w:r>
      <w:r>
        <w:rPr>
          <w:rFonts w:hint="eastAsia" w:ascii="仿宋_GB2312" w:hAnsi="FZFangSong-Z02" w:eastAsia="仿宋_GB2312" w:cs="仿宋_GB2312"/>
          <w:sz w:val="32"/>
          <w:szCs w:val="32"/>
        </w:rPr>
        <w:t>、</w:t>
      </w:r>
      <w:r>
        <w:rPr>
          <w:rFonts w:hint="eastAsia" w:ascii="仿宋_GB2312" w:eastAsia="仿宋_GB2312" w:cs="仿宋_GB2312"/>
          <w:b/>
          <w:bCs/>
          <w:sz w:val="32"/>
          <w:szCs w:val="32"/>
        </w:rPr>
        <w:t>“</w:t>
      </w:r>
      <w:r>
        <w:rPr>
          <w:rFonts w:hint="eastAsia" w:ascii="仿宋_GB2312" w:hAnsi="FZFangSong-Z02" w:eastAsia="仿宋_GB2312" w:cs="仿宋_GB2312"/>
          <w:sz w:val="32"/>
          <w:szCs w:val="32"/>
        </w:rPr>
        <w:t>三公</w:t>
      </w:r>
      <w:r>
        <w:rPr>
          <w:rFonts w:hint="eastAsia" w:ascii="仿宋_GB2312" w:eastAsia="仿宋_GB2312" w:cs="仿宋_GB2312"/>
          <w:b/>
          <w:bCs/>
          <w:sz w:val="32"/>
          <w:szCs w:val="32"/>
        </w:rPr>
        <w:t>”</w:t>
      </w:r>
      <w:r>
        <w:rPr>
          <w:rFonts w:hint="eastAsia" w:ascii="仿宋_GB2312" w:hAnsi="FZFangSong-Z02" w:eastAsia="仿宋_GB2312" w:cs="仿宋_GB2312"/>
          <w:sz w:val="32"/>
          <w:szCs w:val="32"/>
        </w:rPr>
        <w:t>经费：纳入县级财政预算管理的</w:t>
      </w:r>
      <w:r>
        <w:rPr>
          <w:rFonts w:hint="eastAsia" w:ascii="仿宋_GB2312" w:eastAsia="仿宋_GB2312" w:cs="仿宋_GB2312"/>
          <w:sz w:val="32"/>
          <w:szCs w:val="32"/>
        </w:rPr>
        <w:t>“</w:t>
      </w:r>
      <w:r>
        <w:rPr>
          <w:rFonts w:hint="eastAsia" w:ascii="仿宋_GB2312" w:hAnsi="FZFangSong-Z02" w:eastAsia="仿宋_GB2312" w:cs="仿宋_GB2312"/>
          <w:sz w:val="32"/>
          <w:szCs w:val="32"/>
        </w:rPr>
        <w:t>三公</w:t>
      </w:r>
      <w:r>
        <w:rPr>
          <w:rFonts w:hint="eastAsia" w:ascii="仿宋_GB2312" w:eastAsia="仿宋_GB2312" w:cs="仿宋_GB2312"/>
          <w:sz w:val="32"/>
          <w:szCs w:val="32"/>
        </w:rPr>
        <w:t>”</w:t>
      </w:r>
      <w:r>
        <w:rPr>
          <w:rFonts w:hint="eastAsia" w:ascii="仿宋_GB2312" w:hAnsi="FZFangSong-Z02" w:eastAsia="仿宋_GB2312" w:cs="仿宋_GB231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cs="Times New Roman"/>
          <w:sz w:val="32"/>
          <w:szCs w:val="32"/>
        </w:rPr>
      </w:pPr>
      <w:r>
        <w:rPr>
          <w:rFonts w:ascii="仿宋_GB2312" w:eastAsia="仿宋_GB2312" w:cs="仿宋_GB2312"/>
          <w:b/>
          <w:bCs/>
          <w:sz w:val="32"/>
          <w:szCs w:val="32"/>
        </w:rPr>
        <w:t>8</w:t>
      </w:r>
      <w:r>
        <w:rPr>
          <w:rFonts w:hint="eastAsia" w:ascii="仿宋_GB2312" w:hAnsi="FZFangSong-Z02" w:eastAsia="仿宋_GB2312" w:cs="仿宋_GB231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cs="仿宋_GB2312"/>
          <w:sz w:val="32"/>
          <w:szCs w:val="32"/>
        </w:rPr>
        <w:t>其他费用。</w:t>
      </w:r>
    </w:p>
    <w:p>
      <w:pPr>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3807"/>
    <w:rsid w:val="001245BB"/>
    <w:rsid w:val="00125FBB"/>
    <w:rsid w:val="00184744"/>
    <w:rsid w:val="0018479D"/>
    <w:rsid w:val="001C1F53"/>
    <w:rsid w:val="00203698"/>
    <w:rsid w:val="00207CAD"/>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0F71"/>
    <w:rsid w:val="0030542C"/>
    <w:rsid w:val="00311B7A"/>
    <w:rsid w:val="003224EB"/>
    <w:rsid w:val="00332ABC"/>
    <w:rsid w:val="003A094E"/>
    <w:rsid w:val="003B2D98"/>
    <w:rsid w:val="003E1A7F"/>
    <w:rsid w:val="003E23A5"/>
    <w:rsid w:val="003F49E7"/>
    <w:rsid w:val="003F779C"/>
    <w:rsid w:val="00415CB8"/>
    <w:rsid w:val="00450F8F"/>
    <w:rsid w:val="00451871"/>
    <w:rsid w:val="00472923"/>
    <w:rsid w:val="004943F6"/>
    <w:rsid w:val="00497870"/>
    <w:rsid w:val="004A3EED"/>
    <w:rsid w:val="004B37C2"/>
    <w:rsid w:val="004E3066"/>
    <w:rsid w:val="004E74CD"/>
    <w:rsid w:val="004F391B"/>
    <w:rsid w:val="004F6123"/>
    <w:rsid w:val="00520CEC"/>
    <w:rsid w:val="0056326C"/>
    <w:rsid w:val="005632E5"/>
    <w:rsid w:val="00572603"/>
    <w:rsid w:val="00573562"/>
    <w:rsid w:val="005849DD"/>
    <w:rsid w:val="00595C93"/>
    <w:rsid w:val="005C1AEB"/>
    <w:rsid w:val="005C248A"/>
    <w:rsid w:val="005D68FF"/>
    <w:rsid w:val="006009A1"/>
    <w:rsid w:val="00614A29"/>
    <w:rsid w:val="00643BF8"/>
    <w:rsid w:val="00646686"/>
    <w:rsid w:val="00685570"/>
    <w:rsid w:val="0069476A"/>
    <w:rsid w:val="006D6C8A"/>
    <w:rsid w:val="006E5AA3"/>
    <w:rsid w:val="0071708A"/>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7D"/>
    <w:rsid w:val="00A662E9"/>
    <w:rsid w:val="00A72D2E"/>
    <w:rsid w:val="00A911E7"/>
    <w:rsid w:val="00A939D9"/>
    <w:rsid w:val="00AA71ED"/>
    <w:rsid w:val="00AB73CD"/>
    <w:rsid w:val="00AF6B63"/>
    <w:rsid w:val="00B043C4"/>
    <w:rsid w:val="00B20712"/>
    <w:rsid w:val="00B43238"/>
    <w:rsid w:val="00B46BD7"/>
    <w:rsid w:val="00B75216"/>
    <w:rsid w:val="00B91D52"/>
    <w:rsid w:val="00BA1ACD"/>
    <w:rsid w:val="00BA408B"/>
    <w:rsid w:val="00BA6C50"/>
    <w:rsid w:val="00C020F8"/>
    <w:rsid w:val="00C20230"/>
    <w:rsid w:val="00C21BCB"/>
    <w:rsid w:val="00C24BF5"/>
    <w:rsid w:val="00C720E3"/>
    <w:rsid w:val="00C8569A"/>
    <w:rsid w:val="00CA7176"/>
    <w:rsid w:val="00CD2773"/>
    <w:rsid w:val="00CD326E"/>
    <w:rsid w:val="00CE143B"/>
    <w:rsid w:val="00CE403B"/>
    <w:rsid w:val="00CE5192"/>
    <w:rsid w:val="00CF2D57"/>
    <w:rsid w:val="00D00705"/>
    <w:rsid w:val="00D361CD"/>
    <w:rsid w:val="00D80DB8"/>
    <w:rsid w:val="00DA2FDB"/>
    <w:rsid w:val="00DD2E66"/>
    <w:rsid w:val="00E152EC"/>
    <w:rsid w:val="00E167C7"/>
    <w:rsid w:val="00E367EC"/>
    <w:rsid w:val="00E6361D"/>
    <w:rsid w:val="00E84FEB"/>
    <w:rsid w:val="00EC47F6"/>
    <w:rsid w:val="00EE1B43"/>
    <w:rsid w:val="00F153EF"/>
    <w:rsid w:val="00F50E15"/>
    <w:rsid w:val="00F61055"/>
    <w:rsid w:val="00F66032"/>
    <w:rsid w:val="00F71E48"/>
    <w:rsid w:val="00F958C2"/>
    <w:rsid w:val="00FB4CD3"/>
    <w:rsid w:val="00FC6357"/>
    <w:rsid w:val="00FD2081"/>
    <w:rsid w:val="00FE3D85"/>
    <w:rsid w:val="050E5B1C"/>
    <w:rsid w:val="089353AC"/>
    <w:rsid w:val="09C233F4"/>
    <w:rsid w:val="0E562041"/>
    <w:rsid w:val="10BE6BC6"/>
    <w:rsid w:val="12651121"/>
    <w:rsid w:val="1AA10229"/>
    <w:rsid w:val="1F7B29F8"/>
    <w:rsid w:val="2AB435FC"/>
    <w:rsid w:val="2D832AD5"/>
    <w:rsid w:val="3F196BDB"/>
    <w:rsid w:val="4320503B"/>
    <w:rsid w:val="5D3017F9"/>
    <w:rsid w:val="633854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character" w:customStyle="1" w:styleId="8">
    <w:name w:val="页眉 Char"/>
    <w:basedOn w:val="7"/>
    <w:link w:val="3"/>
    <w:qFormat/>
    <w:locked/>
    <w:uiPriority w:val="99"/>
    <w:rPr>
      <w:rFonts w:ascii="Times New Roman" w:hAnsi="Times New Roman" w:eastAsia="宋体" w:cs="Times New Roman"/>
      <w:sz w:val="18"/>
      <w:szCs w:val="18"/>
    </w:rPr>
  </w:style>
  <w:style w:type="character" w:customStyle="1" w:styleId="9">
    <w:name w:val="页脚 Char"/>
    <w:basedOn w:val="7"/>
    <w:link w:val="2"/>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13</Pages>
  <Words>757</Words>
  <Characters>4319</Characters>
  <Lines>35</Lines>
  <Paragraphs>10</Paragraphs>
  <TotalTime>8</TotalTime>
  <ScaleCrop>false</ScaleCrop>
  <LinksUpToDate>false</LinksUpToDate>
  <CharactersWithSpaces>5066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2019-03-13T08:02:45Z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